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70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000"/>
        <w:gridCol w:w="8700"/>
      </w:tblGrid>
      <w:tr>
        <w:tc>
          <w:tcPr>
            <w:tcW w:type="dxa" w:w="1000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r>
              <w:drawing>
                <wp:inline distT="0" distB="0" distL="0" distR="0">
                  <wp:extent cx="552450" cy="492569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4925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700"/>
            <w:tcBorders>
              <w:top w:val="none"/>
              <w:left w:val="none"/>
              <w:bottom w:val="none"/>
              <w:right w:val="none"/>
            </w:tcBorders>
            <w:tcMar>
              <w:left w:type="dxa" w:w="150"/>
            </w:tcMar>
            <w:vAlign w:val="center"/>
          </w:tcPr>
          <w:p>
            <w:pPr>
              <w:spacing w:after="14"/>
            </w:pPr>
            <w:r>
              <w:rPr>
                <w:b/>
                <w:bCs/>
                <w:color w:val="17385c"/>
                <w:sz w:val="19"/>
                <w:szCs w:val="19"/>
              </w:rPr>
              <w:t xml:space="preserve">Initiative Stille Stunde · gemeinsam zusammen e. V.</w:t>
            </w:r>
          </w:p>
          <w:p>
            <w:r>
              <w:rPr>
                <w:color w:val="5f5a57"/>
                <w:sz w:val="17"/>
                <w:szCs w:val="17"/>
              </w:rPr>
              <w:t xml:space="preserve">20. Oktober · Tag der nicht sichtbaren Behinderungen · zum 3. Mal · #SayCor</w:t>
            </w:r>
          </w:p>
        </w:tc>
      </w:tr>
    </w:tbl>
    <w:p>
      <w:pPr>
        <w:pBdr>
          <w:bottom w:val="single" w:color="17385c" w:sz="10" w:space="6"/>
        </w:pBdr>
        <w:spacing w:after="150" w:before="60"/>
      </w:pPr>
    </w:p>
    <w:p>
      <w:pPr>
        <w:spacing w:after="80"/>
      </w:pPr>
      <w:r>
        <w:rPr>
          <w:b/>
          <w:bCs/>
          <w:color w:val="17385c"/>
          <w:sz w:val="36"/>
          <w:szCs w:val="36"/>
        </w:rPr>
        <w:t xml:space="preserve">Die Ausstellung</w:t>
      </w:r>
    </w:p>
    <w:p>
      <w:pPr>
        <w:spacing w:after="190"/>
      </w:pPr>
      <w:r>
        <w:rPr>
          <w:color w:val="5f5a57"/>
          <w:sz w:val="20"/>
          <w:szCs w:val="20"/>
        </w:rPr>
        <w:t xml:space="preserve">So bauen Sie sie auf — mit interaktiven Mitmach-Stationen</w:t>
      </w:r>
    </w:p>
    <w:p>
      <w:pPr>
        <w:spacing w:after="160"/>
      </w:pPr>
      <w:r>
        <w:rPr>
          <w:color w:val="2c2a28"/>
          <w:sz w:val="21"/>
          <w:szCs w:val="21"/>
        </w:rPr>
        <w:t xml:space="preserve">Liebe Ausstellerinnen und Aussteller,</w:t>
      </w:r>
    </w:p>
    <w:p>
      <w:pPr>
        <w:spacing w:after="170" w:line="264"/>
      </w:pPr>
      <w:r>
        <w:rPr>
          <w:color w:val="2c2a28"/>
          <w:sz w:val="21"/>
          <w:szCs w:val="21"/>
        </w:rPr>
        <w:t xml:space="preserve">vielen Dank für Ihr Interesse an unserer Ausstellung! Für Ihren Aufbau stehen Ihnen </w:t>
      </w:r>
      <w:r>
        <w:rPr>
          <w:b/>
          <w:bCs/>
          <w:color w:val="2c2a28"/>
          <w:sz w:val="21"/>
          <w:szCs w:val="21"/>
        </w:rPr>
        <w:t xml:space="preserve">[Anzahl] Roll-ups, [Anzahl] Plakate und [Anzahl] Porträts</w:t>
      </w:r>
      <w:r>
        <w:rPr>
          <w:color w:val="2c2a28"/>
          <w:sz w:val="21"/>
          <w:szCs w:val="21"/>
        </w:rPr>
        <w:t xml:space="preserve"> zur Verfügung. Sie erzählen von Menschen mit nicht sichtbaren Behinderungen und von den Barrieren, die man nicht sieht.</w:t>
      </w:r>
    </w:p>
    <w:p>
      <w:pPr>
        <w:spacing w:after="20"/>
      </w:pPr>
    </w:p>
    <w:tbl>
      <w:tblPr>
        <w:tblW w:type="dxa" w:w="970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700"/>
      </w:tblGrid>
      <w:tr>
        <w:tc>
          <w:tcPr>
            <w:tcW w:type="dxa" w:w="9700"/>
            <w:tcBorders>
              <w:top w:val="none"/>
              <w:left w:val="single" w:color="267997" w:sz="24"/>
              <w:bottom w:val="none"/>
              <w:right w:val="none"/>
            </w:tcBorders>
            <w:shd w:fill="eef5f8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pPr>
              <w:spacing w:after="70"/>
            </w:pPr>
            <w:r>
              <w:rPr>
                <w:b/>
                <w:bCs/>
                <w:color w:val="267997"/>
                <w:sz w:val="22"/>
                <w:szCs w:val="22"/>
              </w:rPr>
              <w:t xml:space="preserve">Druckhinweis zu den Roll-ups</w:t>
            </w:r>
          </w:p>
          <w:p>
            <w:pPr>
              <w:spacing w:line="264"/>
            </w:pPr>
            <w:r>
              <w:rPr>
                <w:color w:val="2c2a28"/>
                <w:sz w:val="21"/>
                <w:szCs w:val="21"/>
              </w:rPr>
              <w:t xml:space="preserve">Die Roll-up-Vorlagen sind aus technischen Gründen (Canva-Vorgaben) auf </w:t>
            </w:r>
            <w:r>
              <w:rPr>
                <w:b/>
                <w:bCs/>
                <w:color w:val="2c2a28"/>
                <w:sz w:val="21"/>
                <w:szCs w:val="21"/>
              </w:rPr>
              <w:t xml:space="preserve">halber Größe</w:t>
            </w:r>
            <w:r>
              <w:rPr>
                <w:color w:val="2c2a28"/>
                <w:sz w:val="21"/>
                <w:szCs w:val="21"/>
              </w:rPr>
              <w:t xml:space="preserve"> angelegt. Für den Druck haben wir sie als </w:t>
            </w:r>
            <w:r>
              <w:rPr>
                <w:b/>
                <w:bCs/>
                <w:color w:val="2c2a28"/>
                <w:sz w:val="21"/>
                <w:szCs w:val="21"/>
              </w:rPr>
              <w:t xml:space="preserve">PNG</w:t>
            </w:r>
            <w:r>
              <w:rPr>
                <w:color w:val="2c2a28"/>
                <w:sz w:val="21"/>
                <w:szCs w:val="21"/>
              </w:rPr>
              <w:t xml:space="preserve"> an die Druckerei gegeben — daraus wurde die </w:t>
            </w:r>
            <w:r>
              <w:rPr>
                <w:b/>
                <w:bCs/>
                <w:color w:val="2c2a28"/>
                <w:sz w:val="21"/>
                <w:szCs w:val="21"/>
              </w:rPr>
              <w:t xml:space="preserve">2-Meter-Variante</w:t>
            </w:r>
            <w:r>
              <w:rPr>
                <w:color w:val="2c2a28"/>
                <w:sz w:val="21"/>
                <w:szCs w:val="21"/>
              </w:rPr>
              <w:t xml:space="preserve"> produziert. Geben Sie diesen Hinweis gern an Ihre Druckerei weiter.</w:t>
            </w:r>
          </w:p>
        </w:tc>
      </w:tr>
    </w:tbl>
    <w:p>
      <w:pPr>
        <w:spacing w:after="30"/>
      </w:pPr>
    </w:p>
    <w:p>
      <w:pPr>
        <w:spacing w:after="170" w:line="264"/>
      </w:pPr>
      <w:r>
        <w:rPr>
          <w:color w:val="2c2a28"/>
          <w:sz w:val="21"/>
          <w:szCs w:val="21"/>
        </w:rPr>
        <w:t xml:space="preserve">Weil eine Ausstellung schnell </w:t>
      </w:r>
      <w:r>
        <w:rPr>
          <w:b/>
          <w:bCs/>
          <w:color w:val="2c2a28"/>
          <w:sz w:val="21"/>
          <w:szCs w:val="21"/>
        </w:rPr>
        <w:t xml:space="preserve">viel zum Lesen</w:t>
      </w:r>
      <w:r>
        <w:rPr>
          <w:color w:val="2c2a28"/>
          <w:sz w:val="21"/>
          <w:szCs w:val="21"/>
        </w:rPr>
        <w:t xml:space="preserve"> wird, bauen wir sie immer mit ein paar </w:t>
      </w:r>
      <w:r>
        <w:rPr>
          <w:b/>
          <w:bCs/>
          <w:color w:val="2c2a28"/>
          <w:sz w:val="21"/>
          <w:szCs w:val="21"/>
        </w:rPr>
        <w:t xml:space="preserve">interaktiven Stationen</w:t>
      </w:r>
      <w:r>
        <w:rPr>
          <w:color w:val="2c2a28"/>
          <w:sz w:val="21"/>
          <w:szCs w:val="21"/>
        </w:rPr>
        <w:t xml:space="preserve"> auf. So kommen die Besucherinnen und Besucher ins Erleben und Mitmachen — und nehmen viel mehr mit. Hier sind unsere bewährten Stationen:</w:t>
      </w:r>
    </w:p>
    <w:p>
      <w:pPr>
        <w:keepNext/>
        <w:spacing w:after="120" w:before="300"/>
      </w:pPr>
      <w:r>
        <w:rPr>
          <w:b/>
          <w:bCs/>
          <w:color w:val="267997"/>
          <w:sz w:val="25"/>
          <w:szCs w:val="25"/>
        </w:rPr>
        <w:t xml:space="preserve">Damit alle mitkommen — barrierearm ausgestellt</w:t>
      </w:r>
    </w:p>
    <w:p>
      <w:pPr>
        <w:spacing w:after="170" w:line="264"/>
      </w:pPr>
      <w:r>
        <w:rPr>
          <w:color w:val="2c2a28"/>
          <w:sz w:val="21"/>
          <w:szCs w:val="21"/>
        </w:rPr>
        <w:t xml:space="preserve">Eine Ausstellung mit vielen Texten ist nicht automatisch barrierefrei. Deshalb haben wir mitgedacht:</w:t>
      </w:r>
    </w:p>
    <w:p>
      <w:pPr>
        <w:spacing w:after="90" w:line="260"/>
        <w:ind w:left="431" w:hanging="288"/>
      </w:pPr>
      <w:r>
        <w:rPr>
          <w:b/>
          <w:bCs/>
          <w:color w:val="267997"/>
          <w:sz w:val="21"/>
          <w:szCs w:val="21"/>
        </w:rPr>
        <w:t xml:space="preserve">•  </w:t>
      </w:r>
      <w:r>
        <w:rPr>
          <w:color w:val="2c2a28"/>
          <w:sz w:val="21"/>
          <w:szCs w:val="21"/>
        </w:rPr>
        <w:t xml:space="preserve">Für </w:t>
      </w:r>
      <w:r>
        <w:rPr>
          <w:b/>
          <w:bCs/>
          <w:color w:val="2c2a28"/>
          <w:sz w:val="21"/>
          <w:szCs w:val="21"/>
        </w:rPr>
        <w:t xml:space="preserve">blinde und sehbeeinträchtigte Menschen</w:t>
      </w:r>
      <w:r>
        <w:rPr>
          <w:color w:val="2c2a28"/>
          <w:sz w:val="21"/>
          <w:szCs w:val="21"/>
        </w:rPr>
        <w:t xml:space="preserve"> liegt im Ausstellungs-Ordner eine eigene Vorlage zum Vorlesen bereit („Ausstellung barrierearm/blind“).</w:t>
      </w:r>
    </w:p>
    <w:p>
      <w:pPr>
        <w:spacing w:after="90" w:line="260"/>
        <w:ind w:left="431" w:hanging="288"/>
      </w:pPr>
      <w:r>
        <w:rPr>
          <w:b/>
          <w:bCs/>
          <w:color w:val="267997"/>
          <w:sz w:val="21"/>
          <w:szCs w:val="21"/>
        </w:rPr>
        <w:t xml:space="preserve">•  </w:t>
      </w:r>
      <w:r>
        <w:rPr>
          <w:color w:val="2c2a28"/>
          <w:sz w:val="21"/>
          <w:szCs w:val="21"/>
        </w:rPr>
        <w:t xml:space="preserve">An vielen Roll-ups finden Sie unten </w:t>
      </w:r>
      <w:r>
        <w:rPr>
          <w:b/>
          <w:bCs/>
          <w:color w:val="2c2a28"/>
          <w:sz w:val="21"/>
          <w:szCs w:val="21"/>
        </w:rPr>
        <w:t xml:space="preserve">QR-Codes</w:t>
      </w:r>
      <w:r>
        <w:rPr>
          <w:color w:val="2c2a28"/>
          <w:sz w:val="21"/>
          <w:szCs w:val="21"/>
        </w:rPr>
        <w:t xml:space="preserve"> — sie erklären den jeweiligen Inhalt zusätzlich per Video.</w:t>
      </w:r>
    </w:p>
    <w:p>
      <w:pPr>
        <w:spacing w:after="90" w:line="260"/>
        <w:ind w:left="431" w:hanging="288"/>
      </w:pPr>
      <w:r>
        <w:rPr>
          <w:b/>
          <w:bCs/>
          <w:color w:val="267997"/>
          <w:sz w:val="21"/>
          <w:szCs w:val="21"/>
        </w:rPr>
        <w:t xml:space="preserve">•  </w:t>
      </w:r>
      <w:r>
        <w:rPr>
          <w:color w:val="2c2a28"/>
          <w:sz w:val="21"/>
          <w:szCs w:val="21"/>
        </w:rPr>
        <w:t xml:space="preserve">Ein </w:t>
      </w:r>
      <w:r>
        <w:rPr>
          <w:b/>
          <w:bCs/>
          <w:color w:val="2c2a28"/>
          <w:sz w:val="21"/>
          <w:szCs w:val="21"/>
        </w:rPr>
        <w:t xml:space="preserve">Booklet in Leichter Sprache</w:t>
      </w:r>
      <w:r>
        <w:rPr>
          <w:color w:val="2c2a28"/>
          <w:sz w:val="21"/>
          <w:szCs w:val="21"/>
        </w:rPr>
        <w:t xml:space="preserve"> ist in Arbeit und folgt.</w:t>
      </w:r>
    </w:p>
    <w:p>
      <w:pPr>
        <w:keepNext/>
        <w:spacing w:after="120" w:before="300"/>
      </w:pPr>
      <w:r>
        <w:rPr>
          <w:b/>
          <w:bCs/>
          <w:color w:val="267997"/>
          <w:sz w:val="25"/>
          <w:szCs w:val="25"/>
        </w:rPr>
        <w:t xml:space="preserve">Die Mitmach-Stationen</w:t>
      </w:r>
    </w:p>
    <w:tbl>
      <w:tblPr>
        <w:tblW w:type="dxa" w:w="970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700"/>
      </w:tblGrid>
      <w:tr>
        <w:tc>
          <w:tcPr>
            <w:tcW w:type="dxa" w:w="9700"/>
            <w:tcBorders>
              <w:top w:val="none"/>
              <w:left w:val="single" w:color="267997" w:sz="24"/>
              <w:bottom w:val="none"/>
              <w:right w:val="none"/>
            </w:tcBorders>
            <w:shd w:fill="eef5f8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pPr>
              <w:spacing w:after="70"/>
            </w:pPr>
            <w:r>
              <w:rPr>
                <w:b/>
                <w:bCs/>
                <w:color w:val="267997"/>
                <w:sz w:val="18"/>
                <w:szCs w:val="18"/>
              </w:rPr>
              <w:t xml:space="preserve">Station 1  </w:t>
            </w:r>
            <w:r>
              <w:rPr>
                <w:b/>
                <w:bCs/>
                <w:color w:val="17385c"/>
                <w:sz w:val="22"/>
                <w:szCs w:val="22"/>
              </w:rPr>
              <w:t xml:space="preserve">„Bist du behindert?“ — der Einstieg</w:t>
            </w:r>
          </w:p>
          <w:p>
            <w:pPr>
              <w:spacing w:after="70" w:line="264"/>
            </w:pPr>
            <w:r>
              <w:rPr>
                <w:color w:val="2c2a28"/>
                <w:sz w:val="21"/>
                <w:szCs w:val="21"/>
              </w:rPr>
              <w:t xml:space="preserve">Direkt zur Begrüßung stellen wir </w:t>
            </w:r>
            <w:r>
              <w:rPr>
                <w:b/>
                <w:bCs/>
                <w:color w:val="2c2a28"/>
                <w:sz w:val="21"/>
                <w:szCs w:val="21"/>
              </w:rPr>
              <w:t xml:space="preserve">drei Gläser</w:t>
            </w:r>
            <w:r>
              <w:rPr>
                <w:color w:val="2c2a28"/>
                <w:sz w:val="21"/>
                <w:szCs w:val="21"/>
              </w:rPr>
              <w:t xml:space="preserve"> auf, beschriftet mit </w:t>
            </w:r>
            <w:r>
              <w:rPr>
                <w:b/>
                <w:bCs/>
                <w:color w:val="2c2a28"/>
                <w:sz w:val="21"/>
                <w:szCs w:val="21"/>
              </w:rPr>
              <w:t xml:space="preserve">„Ja, ich bin behindert“</w:t>
            </w:r>
            <w:r>
              <w:rPr>
                <w:color w:val="2c2a28"/>
                <w:sz w:val="21"/>
                <w:szCs w:val="21"/>
              </w:rPr>
              <w:t xml:space="preserve"> · </w:t>
            </w:r>
            <w:r>
              <w:rPr>
                <w:b/>
                <w:bCs/>
                <w:color w:val="2c2a28"/>
                <w:sz w:val="21"/>
                <w:szCs w:val="21"/>
              </w:rPr>
              <w:t xml:space="preserve">„Nein“</w:t>
            </w:r>
            <w:r>
              <w:rPr>
                <w:color w:val="2c2a28"/>
                <w:sz w:val="21"/>
                <w:szCs w:val="21"/>
              </w:rPr>
              <w:t xml:space="preserve"> · </w:t>
            </w:r>
            <w:r>
              <w:rPr>
                <w:b/>
                <w:bCs/>
                <w:color w:val="2c2a28"/>
                <w:sz w:val="21"/>
                <w:szCs w:val="21"/>
              </w:rPr>
              <w:t xml:space="preserve">„Vielleicht — ich weiß es nicht“</w:t>
            </w:r>
            <w:r>
              <w:rPr>
                <w:color w:val="2c2a28"/>
                <w:sz w:val="21"/>
                <w:szCs w:val="21"/>
              </w:rPr>
              <w:t xml:space="preserve">. Jede:r wirft ein Wattebäuschchen oder eine Murmel in das passende Glas. Das bringt die Gäste sofort ins Nachdenken und Mitmachen — noch bevor der Leseteil beginnt.</w:t>
            </w:r>
          </w:p>
          <w:p>
            <w:r>
              <w:rPr>
                <w:b/>
                <w:bCs/>
                <w:color w:val="772327"/>
                <w:sz w:val="17"/>
                <w:szCs w:val="17"/>
              </w:rPr>
              <w:t xml:space="preserve">Material: </w:t>
            </w:r>
            <w:r>
              <w:rPr>
                <w:color w:val="5f5a57"/>
                <w:sz w:val="17"/>
                <w:szCs w:val="17"/>
              </w:rPr>
              <w:t xml:space="preserve">drei Gläser, Wattebäusche oder Murmeln, drei Schilder.</w:t>
            </w:r>
          </w:p>
        </w:tc>
      </w:tr>
    </w:tbl>
    <w:p>
      <w:pPr>
        <w:spacing w:after="90"/>
      </w:pPr>
    </w:p>
    <w:tbl>
      <w:tblPr>
        <w:tblW w:type="dxa" w:w="970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700"/>
      </w:tblGrid>
      <w:tr>
        <w:tc>
          <w:tcPr>
            <w:tcW w:type="dxa" w:w="9700"/>
            <w:tcBorders>
              <w:top w:val="none"/>
              <w:left w:val="single" w:color="7a4a7e" w:sz="24"/>
              <w:bottom w:val="none"/>
              <w:right w:val="none"/>
            </w:tcBorders>
            <w:shd w:fill="f4eef4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pPr>
              <w:spacing w:after="70"/>
            </w:pPr>
            <w:r>
              <w:rPr>
                <w:b/>
                <w:bCs/>
                <w:color w:val="7a4a7e"/>
                <w:sz w:val="18"/>
                <w:szCs w:val="18"/>
              </w:rPr>
              <w:t xml:space="preserve">Station 2  </w:t>
            </w:r>
            <w:r>
              <w:rPr>
                <w:b/>
                <w:bCs/>
                <w:color w:val="17385c"/>
                <w:sz w:val="22"/>
                <w:szCs w:val="22"/>
              </w:rPr>
              <w:t xml:space="preserve">Die Zauberecke — Rückzug &amp; Spüren</w:t>
            </w:r>
          </w:p>
          <w:p>
            <w:pPr>
              <w:spacing w:after="70" w:line="264"/>
            </w:pPr>
            <w:r>
              <w:rPr>
                <w:color w:val="2c2a28"/>
                <w:sz w:val="21"/>
                <w:szCs w:val="21"/>
              </w:rPr>
              <w:t xml:space="preserve">Ein </w:t>
            </w:r>
            <w:r>
              <w:rPr>
                <w:b/>
                <w:bCs/>
                <w:color w:val="2c2a28"/>
                <w:sz w:val="21"/>
                <w:szCs w:val="21"/>
              </w:rPr>
              <w:t xml:space="preserve">kleines, dunkles Zelt</w:t>
            </w:r>
            <w:r>
              <w:rPr>
                <w:color w:val="2c2a28"/>
                <w:sz w:val="21"/>
                <w:szCs w:val="21"/>
              </w:rPr>
              <w:t xml:space="preserve"> (gern ganz schwarz) lädt zum Rückzug ein. Hinein kommen zum Beispiel eine </w:t>
            </w:r>
            <w:r>
              <w:rPr>
                <w:b/>
                <w:bCs/>
                <w:color w:val="2c2a28"/>
                <w:sz w:val="21"/>
                <w:szCs w:val="21"/>
              </w:rPr>
              <w:t xml:space="preserve">Gewichtsdecke</w:t>
            </w:r>
            <w:r>
              <w:rPr>
                <w:color w:val="2c2a28"/>
                <w:sz w:val="21"/>
                <w:szCs w:val="21"/>
              </w:rPr>
              <w:t xml:space="preserve">, </w:t>
            </w:r>
            <w:r>
              <w:rPr>
                <w:b/>
                <w:bCs/>
                <w:color w:val="2c2a28"/>
                <w:sz w:val="21"/>
                <w:szCs w:val="21"/>
              </w:rPr>
              <w:t xml:space="preserve">Gewichts-Kuscheltiere</w:t>
            </w:r>
            <w:r>
              <w:rPr>
                <w:color w:val="2c2a28"/>
                <w:sz w:val="21"/>
                <w:szCs w:val="21"/>
              </w:rPr>
              <w:t xml:space="preserve"> oder </w:t>
            </w:r>
            <w:r>
              <w:rPr>
                <w:b/>
                <w:bCs/>
                <w:color w:val="2c2a28"/>
                <w:sz w:val="21"/>
                <w:szCs w:val="21"/>
              </w:rPr>
              <w:t xml:space="preserve">Fidget-Toys</w:t>
            </w:r>
            <w:r>
              <w:rPr>
                <w:color w:val="2c2a28"/>
                <w:sz w:val="21"/>
                <w:szCs w:val="21"/>
              </w:rPr>
              <w:t xml:space="preserve">. Hier erleben Besucher:innen selbst, wie sehr ein reizarmer Rückzugsort entlasten kann.</w:t>
            </w:r>
          </w:p>
          <w:p>
            <w:r>
              <w:rPr>
                <w:b/>
                <w:bCs/>
                <w:color w:val="772327"/>
                <w:sz w:val="17"/>
                <w:szCs w:val="17"/>
              </w:rPr>
              <w:t xml:space="preserve">Material: </w:t>
            </w:r>
            <w:r>
              <w:rPr>
                <w:color w:val="5f5a57"/>
                <w:sz w:val="17"/>
                <w:szCs w:val="17"/>
              </w:rPr>
              <w:t xml:space="preserve">kleines Zelt, Gewichtsdecke, Gewichts-Kuscheltiere, Fidget-Toys.</w:t>
            </w:r>
          </w:p>
        </w:tc>
      </w:tr>
    </w:tbl>
    <w:p>
      <w:pPr>
        <w:spacing w:after="90"/>
      </w:pPr>
    </w:p>
    <w:tbl>
      <w:tblPr>
        <w:tblW w:type="dxa" w:w="970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700"/>
      </w:tblGrid>
      <w:tr>
        <w:tc>
          <w:tcPr>
            <w:tcW w:type="dxa" w:w="9700"/>
            <w:tcBorders>
              <w:top w:val="none"/>
              <w:left w:val="single" w:color="4f8a5b" w:sz="24"/>
              <w:bottom w:val="none"/>
              <w:right w:val="none"/>
            </w:tcBorders>
            <w:shd w:fill="eef5ee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pPr>
              <w:spacing w:after="70"/>
            </w:pPr>
            <w:r>
              <w:rPr>
                <w:b/>
                <w:bCs/>
                <w:color w:val="4f8a5b"/>
                <w:sz w:val="18"/>
                <w:szCs w:val="18"/>
              </w:rPr>
              <w:t xml:space="preserve">Station 3  </w:t>
            </w:r>
            <w:r>
              <w:rPr>
                <w:b/>
                <w:bCs/>
                <w:color w:val="17385c"/>
                <w:sz w:val="22"/>
                <w:szCs w:val="22"/>
              </w:rPr>
              <w:t xml:space="preserve">Die Reizschutz-Station</w:t>
            </w:r>
          </w:p>
          <w:p>
            <w:pPr>
              <w:spacing w:after="70" w:line="264"/>
            </w:pPr>
            <w:r>
              <w:rPr>
                <w:color w:val="2c2a28"/>
                <w:sz w:val="21"/>
                <w:szCs w:val="21"/>
              </w:rPr>
              <w:t xml:space="preserve">An einer Stelle liegen </w:t>
            </w:r>
            <w:r>
              <w:rPr>
                <w:b/>
                <w:bCs/>
                <w:color w:val="2c2a28"/>
                <w:sz w:val="21"/>
                <w:szCs w:val="21"/>
              </w:rPr>
              <w:t xml:space="preserve">Kopfhörer</w:t>
            </w:r>
            <w:r>
              <w:rPr>
                <w:color w:val="2c2a28"/>
                <w:sz w:val="21"/>
                <w:szCs w:val="21"/>
              </w:rPr>
              <w:t xml:space="preserve"> bereit, dazu die </w:t>
            </w:r>
            <w:r>
              <w:rPr>
                <w:b/>
                <w:bCs/>
                <w:color w:val="2c2a28"/>
                <w:sz w:val="21"/>
                <w:szCs w:val="21"/>
              </w:rPr>
              <w:t xml:space="preserve">Distanzkarte</w:t>
            </w:r>
            <w:r>
              <w:rPr>
                <w:color w:val="2c2a28"/>
                <w:sz w:val="21"/>
                <w:szCs w:val="21"/>
              </w:rPr>
              <w:t xml:space="preserve"> und eine </w:t>
            </w:r>
            <w:r>
              <w:rPr>
                <w:b/>
                <w:bCs/>
                <w:color w:val="2c2a28"/>
                <w:sz w:val="21"/>
                <w:szCs w:val="21"/>
              </w:rPr>
              <w:t xml:space="preserve">Sonnenbrille</w:t>
            </w:r>
            <w:r>
              <w:rPr>
                <w:color w:val="2c2a28"/>
                <w:sz w:val="21"/>
                <w:szCs w:val="21"/>
              </w:rPr>
              <w:t xml:space="preserve">. So wird direkt spürbar, wie einfache Hilfsmittel Lärm und grelles Licht abmildern.</w:t>
            </w:r>
          </w:p>
          <w:p>
            <w:r>
              <w:rPr>
                <w:b/>
                <w:bCs/>
                <w:color w:val="772327"/>
                <w:sz w:val="17"/>
                <w:szCs w:val="17"/>
              </w:rPr>
              <w:t xml:space="preserve">Material: </w:t>
            </w:r>
            <w:r>
              <w:rPr>
                <w:color w:val="5f5a57"/>
                <w:sz w:val="17"/>
                <w:szCs w:val="17"/>
              </w:rPr>
              <w:t xml:space="preserve">Gehörschutz/Kopfhörer, Distanzkarte, Sonnenbrille.</w:t>
            </w:r>
          </w:p>
        </w:tc>
      </w:tr>
    </w:tbl>
    <w:p>
      <w:pPr>
        <w:spacing w:after="90"/>
      </w:pPr>
    </w:p>
    <w:tbl>
      <w:tblPr>
        <w:tblW w:type="dxa" w:w="9700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700"/>
      </w:tblGrid>
      <w:tr>
        <w:tc>
          <w:tcPr>
            <w:tcW w:type="dxa" w:w="9700"/>
            <w:tcBorders>
              <w:top w:val="none"/>
              <w:left w:val="single" w:color="a9772a" w:sz="24"/>
              <w:bottom w:val="none"/>
              <w:right w:val="none"/>
            </w:tcBorders>
            <w:shd w:fill="faf3e6"/>
            <w:tcMar>
              <w:top w:type="dxa" w:w="150"/>
              <w:left w:type="dxa" w:w="200"/>
              <w:bottom w:type="dxa" w:w="150"/>
              <w:right w:type="dxa" w:w="200"/>
            </w:tcMar>
          </w:tcPr>
          <w:p>
            <w:pPr>
              <w:spacing w:after="70"/>
            </w:pPr>
            <w:r>
              <w:rPr>
                <w:b/>
                <w:bCs/>
                <w:color w:val="a9772a"/>
                <w:sz w:val="18"/>
                <w:szCs w:val="18"/>
              </w:rPr>
              <w:t xml:space="preserve">Station 4  </w:t>
            </w:r>
            <w:r>
              <w:rPr>
                <w:b/>
                <w:bCs/>
                <w:color w:val="17385c"/>
                <w:sz w:val="22"/>
                <w:szCs w:val="22"/>
              </w:rPr>
              <w:t xml:space="preserve">METACOM-Karten</w:t>
            </w:r>
          </w:p>
          <w:p>
            <w:pPr>
              <w:spacing w:after="70" w:line="264"/>
            </w:pPr>
            <w:r>
              <w:rPr>
                <w:color w:val="2c2a28"/>
                <w:sz w:val="21"/>
                <w:szCs w:val="21"/>
              </w:rPr>
              <w:t xml:space="preserve">Legen Sie </w:t>
            </w:r>
            <w:r>
              <w:rPr>
                <w:b/>
                <w:bCs/>
                <w:color w:val="2c2a28"/>
                <w:sz w:val="21"/>
                <w:szCs w:val="21"/>
              </w:rPr>
              <w:t xml:space="preserve">METACOM-Karten</w:t>
            </w:r>
            <w:r>
              <w:rPr>
                <w:color w:val="2c2a28"/>
                <w:sz w:val="21"/>
                <w:szCs w:val="21"/>
              </w:rPr>
              <w:t xml:space="preserve"> aus — Kommunikationskarten, die häufig in Kindergärten und in der Autismustherapie genutzt werden. Sie zeigen, wie Verständigung auch ohne viele Worte gelingt.</w:t>
            </w:r>
          </w:p>
          <w:p>
            <w:r>
              <w:rPr>
                <w:b/>
                <w:bCs/>
                <w:color w:val="772327"/>
                <w:sz w:val="17"/>
                <w:szCs w:val="17"/>
              </w:rPr>
              <w:t xml:space="preserve">Material: </w:t>
            </w:r>
            <w:r>
              <w:rPr>
                <w:color w:val="5f5a57"/>
                <w:sz w:val="17"/>
                <w:szCs w:val="17"/>
              </w:rPr>
              <w:t xml:space="preserve">METACOM-Kartensatz.</w:t>
            </w:r>
          </w:p>
        </w:tc>
      </w:tr>
    </w:tbl>
    <w:p>
      <w:pPr>
        <w:keepNext/>
        <w:spacing w:after="120" w:before="300"/>
      </w:pPr>
      <w:r>
        <w:rPr>
          <w:b/>
          <w:bCs/>
          <w:color w:val="267997"/>
          <w:sz w:val="25"/>
          <w:szCs w:val="25"/>
        </w:rPr>
        <w:t xml:space="preserve">Zum Ergänzen</w:t>
      </w:r>
    </w:p>
    <w:p>
      <w:pPr>
        <w:spacing w:after="170" w:line="264"/>
      </w:pPr>
      <w:r>
        <w:rPr>
          <w:color w:val="2c2a28"/>
          <w:sz w:val="21"/>
          <w:szCs w:val="21"/>
        </w:rPr>
        <w:t xml:space="preserve">Ergänzend können Sie </w:t>
      </w:r>
      <w:r>
        <w:rPr>
          <w:b/>
          <w:bCs/>
          <w:color w:val="2c2a28"/>
          <w:sz w:val="21"/>
          <w:szCs w:val="21"/>
        </w:rPr>
        <w:t xml:space="preserve">Broschüren zum Thema Barrierefreiheit</w:t>
      </w:r>
      <w:r>
        <w:rPr>
          <w:color w:val="2c2a28"/>
          <w:sz w:val="21"/>
          <w:szCs w:val="21"/>
        </w:rPr>
        <w:t xml:space="preserve"> auslegen — zum Beispiel von der Agentur für Arbeit oder vom Integrationsfachdienst (IFD). Fragen Sie dort gern kurz nach; oft gibt es passende Materialien kostenlos.</w:t>
      </w:r>
    </w:p>
    <w:p>
      <w:pPr>
        <w:spacing w:after="60"/>
      </w:pPr>
    </w:p>
    <w:p>
      <w:pPr>
        <w:spacing w:after="150" w:before="40"/>
      </w:pPr>
      <w:r>
        <w:rPr>
          <w:color w:val="2c2a28"/>
          <w:sz w:val="21"/>
          <w:szCs w:val="21"/>
        </w:rPr>
        <w:t xml:space="preserve">Wir freuen uns sehr, dass Sie die Ausstellung zeigen. Bei Fragen zum Aufbau oder zu den Materialien sind wir jederzeit für Sie da.</w:t>
      </w:r>
    </w:p>
    <w:p>
      <w:pPr>
        <w:spacing w:after="16"/>
      </w:pPr>
      <w:r>
        <w:rPr>
          <w:color w:val="2c2a28"/>
          <w:sz w:val="21"/>
          <w:szCs w:val="21"/>
        </w:rPr>
        <w:t xml:space="preserve">Herzliche Grüße</w:t>
      </w:r>
    </w:p>
    <w:p>
      <w:pPr>
        <w:spacing w:after="0"/>
      </w:pPr>
      <w:r>
        <w:rPr>
          <w:b/>
          <w:bCs/>
          <w:color w:val="17385c"/>
          <w:sz w:val="20"/>
          <w:szCs w:val="20"/>
        </w:rPr>
        <w:t xml:space="preserve">Initiative Stille Stunde · gemeinsam zusammen e. V.</w:t>
      </w:r>
    </w:p>
    <w:p>
      <w:pPr>
        <w:spacing w:after="170" w:line="264"/>
      </w:pPr>
      <w:r>
        <w:rPr>
          <w:color w:val="5f5a57"/>
          <w:sz w:val="18"/>
          <w:szCs w:val="18"/>
        </w:rPr>
        <w:t xml:space="preserve">post@stille-stunde.com · stille-stunde.com · #SayCor</w:t>
      </w:r>
    </w:p>
    <w:sectPr>
      <w:headerReference w:type="default" r:id="rId7"/>
      <w:headerReference w:type="first" r:id="rId8"/>
      <w:pgSz w:w="11906" w:h="16838" w:orient="portrait"/>
      <w:pgMar w:top="1000" w:right="1100" w:bottom="900" w:left="1100" w:header="220" w:footer="708" w:gutter="0"/>
      <w:pgNumType/>
      <w:titlePg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</w:pPr>
    <w:r>
      <w:drawing>
        <wp:anchor distT="0" distB="0" distL="0" distR="0" simplePos="0" allowOverlap="1" behindDoc="0" locked="0" layoutInCell="1" relativeHeight="1905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90500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90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image" Target="media/611f201f1870a655562eba4700e89c0ba9fe30ae.png"/><Relationship Id="rId10" Type="http://schemas.openxmlformats.org/officeDocument/2006/relationships/fontTable" Target="fontTable.xml"/></Relationships>
</file>

<file path=word/_rels/header2.xml.rels><?xml version='1.0' encoding='UTF-8' standalone='yes'?>
<Relationships xmlns="http://schemas.openxmlformats.org/package/2006/relationships"><Relationship Id="rId0" Type="http://schemas.openxmlformats.org/officeDocument/2006/relationships/image" Target="media/5a8f4761b1f5cd969068936ade8c08b77fc4bfd9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2026-08-28T13:56:26.380Z</dcterms:created>
  <dcterms:modified xsi:type="dcterms:W3CDTF">2026-08-28T13:56:26.400Z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