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00"/>
        <w:tblBorders>
          <w:top w:val="none"/>
          <w:left w:val="none"/>
          <w:bottom w:val="none"/>
          <w:right w:val="none"/>
          <w:insideH w:val="none"/>
          <w:insideV w:val="none"/>
        </w:tblBorders>
      </w:tblPr>
      <w:tblGrid>
        <w:gridCol w:w="1000"/>
        <w:gridCol w:w="8700"/>
      </w:tblGrid>
      <w:tr>
        <w:tc>
          <w:tcPr>
            <w:tcW w:type="dxa" w:w="1000"/>
            <w:tcBorders>
              <w:top w:val="none"/>
              <w:left w:val="none"/>
              <w:bottom w:val="none"/>
              <w:right w:val="none"/>
            </w:tcBorders>
            <w:vAlign w:val="center"/>
          </w:tcPr>
          <w:p>
            <w:r>
              <w:drawing>
                <wp:inline distT="0" distB="0" distL="0" distR="0">
                  <wp:extent cx="552450" cy="49256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52450" cy="492569"/>
                          </a:xfrm>
                          <a:prstGeom prst="rect">
                            <a:avLst/>
                          </a:prstGeom>
                        </pic:spPr>
                      </pic:pic>
                    </a:graphicData>
                  </a:graphic>
                </wp:inline>
              </w:drawing>
            </w:r>
          </w:p>
        </w:tc>
        <w:tc>
          <w:tcPr>
            <w:tcW w:type="dxa" w:w="8700"/>
            <w:tcBorders>
              <w:top w:val="none"/>
              <w:left w:val="none"/>
              <w:bottom w:val="none"/>
              <w:right w:val="none"/>
            </w:tcBorders>
            <w:tcMar>
              <w:left w:type="dxa" w:w="150"/>
            </w:tcMar>
            <w:vAlign w:val="center"/>
          </w:tcPr>
          <w:p>
            <w:pPr>
              <w:spacing w:after="14"/>
            </w:pPr>
            <w:r>
              <w:rPr>
                <w:b/>
                <w:bCs/>
                <w:color w:val="17385c"/>
                <w:sz w:val="19"/>
                <w:szCs w:val="19"/>
              </w:rPr>
              <w:t xml:space="preserve">Initiative Stille Stunde · gemeinsam zusammen e. V.</w:t>
            </w:r>
          </w:p>
          <w:p>
            <w:r>
              <w:rPr>
                <w:color w:val="5f5a57"/>
                <w:sz w:val="17"/>
                <w:szCs w:val="17"/>
              </w:rPr>
              <w:t xml:space="preserve">20. Oktober · Tag der nicht sichtbaren Behinderungen · zum 3. Mal · #SayCor</w:t>
            </w:r>
          </w:p>
        </w:tc>
      </w:tr>
    </w:tbl>
    <w:p>
      <w:pPr>
        <w:pBdr>
          <w:bottom w:val="single" w:color="17385c" w:sz="10" w:space="6"/>
        </w:pBdr>
        <w:spacing w:after="150" w:before="60"/>
      </w:pPr>
    </w:p>
    <w:p>
      <w:pPr>
        <w:spacing w:after="80"/>
      </w:pPr>
      <w:r>
        <w:rPr>
          <w:b/>
          <w:bCs/>
          <w:color w:val="17385c"/>
          <w:sz w:val="36"/>
          <w:szCs w:val="36"/>
        </w:rPr>
        <w:t xml:space="preserve">Sag Cor. Zeig Herz.</w:t>
      </w:r>
    </w:p>
    <w:p>
      <w:pPr>
        <w:spacing w:after="190"/>
      </w:pPr>
      <w:r>
        <w:rPr>
          <w:color w:val="5f5a57"/>
          <w:sz w:val="20"/>
          <w:szCs w:val="20"/>
        </w:rPr>
        <w:t xml:space="preserve">Ein Anschreiben für die Kommune und die Vertretung für Inklusion und Soziales</w:t>
      </w:r>
    </w:p>
    <w:p>
      <w:pPr>
        <w:spacing w:after="160"/>
      </w:pPr>
      <w:r>
        <w:rPr>
          <w:color w:val="2c2a28"/>
          <w:sz w:val="21"/>
          <w:szCs w:val="21"/>
        </w:rPr>
        <w:t xml:space="preserve">Liebe Kommune, liebe Vertretung für Inklusion und Soziales,</w:t>
      </w:r>
    </w:p>
    <w:p>
      <w:pPr>
        <w:spacing w:after="170" w:line="264"/>
      </w:pPr>
      <w:r>
        <w:rPr>
          <w:color w:val="2c2a28"/>
          <w:sz w:val="21"/>
          <w:szCs w:val="21"/>
        </w:rPr>
        <w:t xml:space="preserve">der Tag der nicht sichtbaren Behinderungen findet am 20. Oktober 2026 zum dritten Mal statt. Wir haben ihn 2024 ins Leben gerufen, weil es für diese große Gruppe bis dahin keinen eigenen Tag gab, und würden uns sehr freuen, wenn auch Ihre Kommune mitmacht. Vielleicht kennen Sie uns noch nicht: Wir sind die Initiative Stille Stunde (gemeinsam zusammen e. V.) und machen Menschen mit nicht sichtbaren Behinderungen sichtbar. Unsere Leitung Rebecca Lefèvre ist Sprecherin der AG Neurodivergenz &amp; Neurologische Vielfalt im Nationalen Suizidpräventionsprogramm (NaSPro).</w:t>
      </w:r>
    </w:p>
    <w:p>
      <w:pPr>
        <w:keepNext/>
        <w:spacing w:after="120" w:before="300"/>
      </w:pPr>
      <w:r>
        <w:rPr>
          <w:b/>
          <w:bCs/>
          <w:color w:val="267997"/>
          <w:sz w:val="25"/>
          <w:szCs w:val="25"/>
        </w:rPr>
        <w:t xml:space="preserve">Das Konzept auf einen Blick</w:t>
      </w:r>
    </w:p>
    <w:p>
      <w:pPr>
        <w:spacing w:after="140"/>
      </w:pPr>
      <w:r>
        <w:rPr>
          <w:color w:val="2c2a28"/>
          <w:sz w:val="21"/>
          <w:szCs w:val="21"/>
        </w:rPr>
        <w:t xml:space="preserve">Drei Bausteine greifen ineinander. Ihre Kommune verbindet sie vor Ort:</w:t>
      </w:r>
    </w:p>
    <w:tbl>
      <w:tblPr>
        <w:tblW w:type="dxa" w:w="9700"/>
        <w:tblBorders>
          <w:top w:val="none"/>
          <w:left w:val="none"/>
          <w:bottom w:val="none"/>
          <w:right w:val="none"/>
          <w:insideH w:val="none"/>
          <w:insideV w:val="none"/>
        </w:tblBorders>
      </w:tblPr>
      <w:tblGrid>
        <w:gridCol w:w="3233"/>
        <w:gridCol w:w="3233"/>
        <w:gridCol w:w="3234"/>
      </w:tblGrid>
      <w:tr>
        <w:tc>
          <w:tcPr>
            <w:tcW w:type="dxa" w:w="3233"/>
            <w:tcBorders>
              <w:top w:val="single" w:color="267997" w:sz="4"/>
              <w:left w:val="single" w:color="267997" w:sz="4"/>
              <w:bottom w:val="single" w:color="267997" w:sz="4"/>
              <w:right w:val="single" w:color="267997" w:sz="4"/>
            </w:tcBorders>
            <w:shd w:fill="eef5f8"/>
            <w:tcMar>
              <w:top w:type="dxa" w:w="130"/>
              <w:left w:type="dxa" w:w="150"/>
              <w:bottom w:type="dxa" w:w="130"/>
              <w:right w:type="dxa" w:w="150"/>
            </w:tcMar>
          </w:tcPr>
          <w:p>
            <w:pPr>
              <w:spacing w:after="50"/>
            </w:pPr>
            <w:r>
              <w:rPr>
                <w:b/>
                <w:bCs/>
                <w:color w:val="267997"/>
                <w:sz w:val="26"/>
                <w:szCs w:val="26"/>
              </w:rPr>
              <w:t xml:space="preserve">1</w:t>
            </w:r>
          </w:p>
          <w:p>
            <w:pPr>
              <w:spacing w:after="40"/>
            </w:pPr>
            <w:r>
              <w:rPr>
                <w:b/>
                <w:bCs/>
                <w:color w:val="17385c"/>
                <w:sz w:val="19"/>
                <w:szCs w:val="19"/>
              </w:rPr>
              <w:t xml:space="preserve">Das Cor.-System</w:t>
            </w:r>
          </w:p>
          <w:p>
            <w:r>
              <w:rPr>
                <w:color w:val="2c2a28"/>
                <w:sz w:val="17"/>
                <w:szCs w:val="17"/>
              </w:rPr>
              <w:t xml:space="preserve">Ein frei nutzbares Zeichen (halb Herz, halb Hirn). Wer es zeigt oder sagt, bittet um Rücksicht – ganz ohne Diagnose. Es bedeutet: Ich brauche gerade eine ruhigere Situation.</w:t>
            </w:r>
          </w:p>
        </w:tc>
        <w:tc>
          <w:tcPr>
            <w:tcW w:type="dxa" w:w="3233"/>
            <w:tcBorders>
              <w:top w:val="single" w:color="267997" w:sz="4"/>
              <w:left w:val="single" w:color="267997" w:sz="4"/>
              <w:bottom w:val="single" w:color="267997" w:sz="4"/>
              <w:right w:val="single" w:color="267997" w:sz="4"/>
            </w:tcBorders>
            <w:shd w:fill="eef5f8"/>
            <w:tcMar>
              <w:top w:type="dxa" w:w="130"/>
              <w:left w:type="dxa" w:w="150"/>
              <w:bottom w:type="dxa" w:w="130"/>
              <w:right w:type="dxa" w:w="150"/>
            </w:tcMar>
          </w:tcPr>
          <w:p>
            <w:pPr>
              <w:spacing w:after="50"/>
            </w:pPr>
            <w:r>
              <w:rPr>
                <w:b/>
                <w:bCs/>
                <w:color w:val="267997"/>
                <w:sz w:val="26"/>
                <w:szCs w:val="26"/>
              </w:rPr>
              <w:t xml:space="preserve">2</w:t>
            </w:r>
          </w:p>
          <w:p>
            <w:pPr>
              <w:spacing w:after="40"/>
            </w:pPr>
            <w:r>
              <w:rPr>
                <w:b/>
                <w:bCs/>
                <w:color w:val="17385c"/>
                <w:sz w:val="19"/>
                <w:szCs w:val="19"/>
              </w:rPr>
              <w:t xml:space="preserve">Das Community-Konzept</w:t>
            </w:r>
          </w:p>
          <w:p>
            <w:r>
              <w:rPr>
                <w:color w:val="2c2a28"/>
                <w:sz w:val="17"/>
                <w:szCs w:val="17"/>
              </w:rPr>
              <w:t xml:space="preserve">Für jede Gruppe – Kita, Schule, Vereine, Wirtschaft, Gesundheit, Pflege, Rettung – liegt ein fertiges Paket bereit.</w:t>
            </w:r>
          </w:p>
        </w:tc>
        <w:tc>
          <w:tcPr>
            <w:tcW w:type="dxa" w:w="3233"/>
            <w:tcBorders>
              <w:top w:val="single" w:color="267997" w:sz="4"/>
              <w:left w:val="single" w:color="267997" w:sz="4"/>
              <w:bottom w:val="single" w:color="267997" w:sz="4"/>
              <w:right w:val="single" w:color="267997" w:sz="4"/>
            </w:tcBorders>
            <w:shd w:fill="eef5f8"/>
            <w:tcMar>
              <w:top w:type="dxa" w:w="130"/>
              <w:left w:type="dxa" w:w="150"/>
              <w:bottom w:type="dxa" w:w="130"/>
              <w:right w:type="dxa" w:w="150"/>
            </w:tcMar>
          </w:tcPr>
          <w:p>
            <w:pPr>
              <w:spacing w:after="50"/>
            </w:pPr>
            <w:r>
              <w:rPr>
                <w:b/>
                <w:bCs/>
                <w:color w:val="267997"/>
                <w:sz w:val="26"/>
                <w:szCs w:val="26"/>
              </w:rPr>
              <w:t xml:space="preserve">3</w:t>
            </w:r>
          </w:p>
          <w:p>
            <w:pPr>
              <w:spacing w:after="40"/>
            </w:pPr>
            <w:r>
              <w:rPr>
                <w:b/>
                <w:bCs/>
                <w:color w:val="17385c"/>
                <w:sz w:val="19"/>
                <w:szCs w:val="19"/>
              </w:rPr>
              <w:t xml:space="preserve">Aktionstag &amp; LIORA.Live</w:t>
            </w:r>
          </w:p>
          <w:p>
            <w:r>
              <w:rPr>
                <w:color w:val="2c2a28"/>
                <w:sz w:val="17"/>
                <w:szCs w:val="17"/>
              </w:rPr>
              <w:t xml:space="preserve">Am 20. Oktober werden alle gemeinsam sichtbar; abends überträgt LIORA.Live aus der Veltins-Arena.</w:t>
            </w:r>
          </w:p>
        </w:tc>
      </w:tr>
    </w:tbl>
    <w:p>
      <w:pPr>
        <w:keepNext/>
        <w:spacing w:after="120" w:before="300"/>
      </w:pPr>
      <w:r>
        <w:rPr>
          <w:b/>
          <w:bCs/>
          <w:color w:val="267997"/>
          <w:sz w:val="25"/>
          <w:szCs w:val="25"/>
        </w:rPr>
        <w:t xml:space="preserve">Worum es geht: unsichtbare Barrieren</w:t>
      </w:r>
    </w:p>
    <w:p>
      <w:pPr>
        <w:spacing w:after="170" w:line="264"/>
      </w:pPr>
      <w:r>
        <w:rPr>
          <w:color w:val="2c2a28"/>
          <w:sz w:val="21"/>
          <w:szCs w:val="21"/>
        </w:rPr>
        <w:t xml:space="preserve">Menschen mit nicht sichtbaren Behinderungen tragen oft eine anhaltende Belastung – durch Schmerz, Reize, hohe geistige Anstrengung oder Stress. Daraus entstehen Barrieren, die man nicht sieht:</w:t>
      </w:r>
    </w:p>
    <w:p>
      <w:pPr>
        <w:pStyle w:val="ListParagraph"/>
        <w:numPr>
          <w:ilvl w:val="0"/>
          <w:numId w:val="2"/>
        </w:numPr>
        <w:spacing w:after="90" w:line="258"/>
      </w:pPr>
      <w:r>
        <w:rPr>
          <w:b/>
          <w:bCs/>
          <w:color w:val="2c2a28"/>
          <w:sz w:val="21"/>
          <w:szCs w:val="21"/>
        </w:rPr>
        <w:t xml:space="preserve">sensorisch</w:t>
      </w:r>
      <w:r>
        <w:rPr>
          <w:color w:val="2c2a28"/>
          <w:sz w:val="21"/>
          <w:szCs w:val="21"/>
        </w:rPr>
        <w:t xml:space="preserve"> – intensive Reaktion auf Lärm, Licht oder Gerüche.</w:t>
      </w:r>
    </w:p>
    <w:p>
      <w:pPr>
        <w:pStyle w:val="ListParagraph"/>
        <w:numPr>
          <w:ilvl w:val="0"/>
          <w:numId w:val="2"/>
        </w:numPr>
        <w:spacing w:after="90" w:line="258"/>
      </w:pPr>
      <w:r>
        <w:rPr>
          <w:b/>
          <w:bCs/>
          <w:color w:val="2c2a28"/>
          <w:sz w:val="21"/>
          <w:szCs w:val="21"/>
        </w:rPr>
        <w:t xml:space="preserve">kommunikativ</w:t>
      </w:r>
      <w:r>
        <w:rPr>
          <w:color w:val="2c2a28"/>
          <w:sz w:val="21"/>
          <w:szCs w:val="21"/>
        </w:rPr>
        <w:t xml:space="preserve"> – Reden und schnelle Absprachen kosten viel Kraft.</w:t>
      </w:r>
    </w:p>
    <w:p>
      <w:pPr>
        <w:pStyle w:val="ListParagraph"/>
        <w:numPr>
          <w:ilvl w:val="0"/>
          <w:numId w:val="2"/>
        </w:numPr>
        <w:spacing w:after="90" w:line="258"/>
      </w:pPr>
      <w:r>
        <w:rPr>
          <w:b/>
          <w:bCs/>
          <w:color w:val="2c2a28"/>
          <w:sz w:val="21"/>
          <w:szCs w:val="21"/>
        </w:rPr>
        <w:t xml:space="preserve">chemisch</w:t>
      </w:r>
      <w:r>
        <w:rPr>
          <w:color w:val="2c2a28"/>
          <w:sz w:val="21"/>
          <w:szCs w:val="21"/>
        </w:rPr>
        <w:t xml:space="preserve"> – Duft, Rauch oder Reinigungsmittel belasten.</w:t>
      </w:r>
    </w:p>
    <w:p>
      <w:pPr>
        <w:pStyle w:val="ListParagraph"/>
        <w:numPr>
          <w:ilvl w:val="0"/>
          <w:numId w:val="2"/>
        </w:numPr>
        <w:spacing w:after="90" w:line="258"/>
      </w:pPr>
      <w:r>
        <w:rPr>
          <w:b/>
          <w:bCs/>
          <w:color w:val="2c2a28"/>
          <w:sz w:val="21"/>
          <w:szCs w:val="21"/>
        </w:rPr>
        <w:t xml:space="preserve">sozial</w:t>
      </w:r>
      <w:r>
        <w:rPr>
          <w:color w:val="2c2a28"/>
          <w:sz w:val="21"/>
          <w:szCs w:val="21"/>
        </w:rPr>
        <w:t xml:space="preserve"> – Menschenmengen, Erwartungen und Abläufe kosten Energie.</w:t>
      </w:r>
    </w:p>
    <w:p>
      <w:pPr>
        <w:spacing w:after="170" w:line="264"/>
      </w:pPr>
      <w:r>
        <w:rPr>
          <w:color w:val="2c2a28"/>
          <w:sz w:val="21"/>
          <w:szCs w:val="21"/>
        </w:rPr>
        <w:t xml:space="preserve">Teilhabe scheitert selten an einem einzelnen Reiz – sondern an ihrer Summe. Diese Barrieren abzubauen ist kein Akt der Solidarität, sondern genauso wichtig wie bei mobilen oder taktilen Behinderungen.</w:t>
      </w:r>
    </w:p>
    <w:p>
      <w:pPr>
        <w:keepNext/>
        <w:spacing w:after="120" w:before="300"/>
      </w:pPr>
      <w:r>
        <w:rPr>
          <w:b/>
          <w:bCs/>
          <w:color w:val="267997"/>
          <w:sz w:val="25"/>
          <w:szCs w:val="25"/>
        </w:rPr>
        <w:t xml:space="preserve">Ihre Rolle als Kommune – in drei Stufen</w:t>
      </w:r>
    </w:p>
    <w:p>
      <w:pPr>
        <w:spacing w:after="140"/>
      </w:pPr>
      <w:r>
        <w:rPr>
          <w:color w:val="2c2a28"/>
          <w:sz w:val="21"/>
          <w:szCs w:val="21"/>
        </w:rPr>
        <w:t xml:space="preserve">Jede Stufe wirkt schon für sich; Sie müssen nicht alles auf einmal tun.</w:t>
      </w:r>
    </w:p>
    <w:tbl>
      <w:tblPr>
        <w:tblW w:type="dxa" w:w="9700"/>
        <w:tblBorders>
          <w:top w:val="none"/>
          <w:left w:val="none"/>
          <w:bottom w:val="none"/>
          <w:right w:val="none"/>
          <w:insideH w:val="none"/>
          <w:insideV w:val="none"/>
        </w:tblBorders>
      </w:tblPr>
      <w:tblGrid>
        <w:gridCol w:w="3233"/>
        <w:gridCol w:w="3233"/>
        <w:gridCol w:w="3234"/>
      </w:tblGrid>
      <w:tr>
        <w:tc>
          <w:tcPr>
            <w:tcW w:type="dxa" w:w="3233"/>
            <w:tcBorders>
              <w:top w:val="single" w:color="4f8a5b" w:sz="4"/>
              <w:left w:val="single" w:color="4f8a5b" w:sz="4"/>
              <w:bottom w:val="single" w:color="4f8a5b" w:sz="4"/>
              <w:right w:val="single" w:color="4f8a5b" w:sz="4"/>
            </w:tcBorders>
            <w:shd w:fill="eef5ee"/>
            <w:tcMar>
              <w:top w:type="dxa" w:w="130"/>
              <w:left w:type="dxa" w:w="150"/>
              <w:bottom w:type="dxa" w:w="130"/>
              <w:right w:type="dxa" w:w="150"/>
            </w:tcMar>
          </w:tcPr>
          <w:p>
            <w:pPr>
              <w:spacing w:after="50"/>
            </w:pPr>
            <w:r>
              <w:rPr>
                <w:b/>
                <w:bCs/>
                <w:color w:val="4f8a5b"/>
                <w:sz w:val="26"/>
                <w:szCs w:val="26"/>
              </w:rPr>
              <w:t xml:space="preserve">1</w:t>
            </w:r>
          </w:p>
          <w:p>
            <w:pPr>
              <w:spacing w:after="40"/>
            </w:pPr>
            <w:r>
              <w:rPr>
                <w:b/>
                <w:bCs/>
                <w:color w:val="17385c"/>
                <w:sz w:val="19"/>
                <w:szCs w:val="19"/>
              </w:rPr>
              <w:t xml:space="preserve">Aufklären</w:t>
            </w:r>
          </w:p>
          <w:p>
            <w:r>
              <w:rPr>
                <w:color w:val="2c2a28"/>
                <w:sz w:val="17"/>
                <w:szCs w:val="17"/>
              </w:rPr>
              <w:t xml:space="preserve">Infos an die Gruppen weitergeben, zu Gruppenfotos mit dem Handzeichen motivieren und zum Live-Stream (17 Uhr) einladen.</w:t>
            </w:r>
          </w:p>
        </w:tc>
        <w:tc>
          <w:tcPr>
            <w:tcW w:type="dxa" w:w="3233"/>
            <w:tcBorders>
              <w:top w:val="single" w:color="4f8a5b" w:sz="4"/>
              <w:left w:val="single" w:color="4f8a5b" w:sz="4"/>
              <w:bottom w:val="single" w:color="4f8a5b" w:sz="4"/>
              <w:right w:val="single" w:color="4f8a5b" w:sz="4"/>
            </w:tcBorders>
            <w:shd w:fill="eef5ee"/>
            <w:tcMar>
              <w:top w:type="dxa" w:w="130"/>
              <w:left w:type="dxa" w:w="150"/>
              <w:bottom w:type="dxa" w:w="130"/>
              <w:right w:type="dxa" w:w="150"/>
            </w:tcMar>
          </w:tcPr>
          <w:p>
            <w:pPr>
              <w:spacing w:after="50"/>
            </w:pPr>
            <w:r>
              <w:rPr>
                <w:b/>
                <w:bCs/>
                <w:color w:val="4f8a5b"/>
                <w:sz w:val="26"/>
                <w:szCs w:val="26"/>
              </w:rPr>
              <w:t xml:space="preserve">2</w:t>
            </w:r>
          </w:p>
          <w:p>
            <w:pPr>
              <w:spacing w:after="40"/>
            </w:pPr>
            <w:r>
              <w:rPr>
                <w:b/>
                <w:bCs/>
                <w:color w:val="17385c"/>
                <w:sz w:val="19"/>
                <w:szCs w:val="19"/>
              </w:rPr>
              <w:t xml:space="preserve">Sichtbar werden</w:t>
            </w:r>
          </w:p>
          <w:p>
            <w:r>
              <w:rPr>
                <w:color w:val="2c2a28"/>
                <w:sz w:val="17"/>
                <w:szCs w:val="17"/>
              </w:rPr>
              <w:t xml:space="preserve">Eine „Stille Stunde“ einrichten – reizarm, gedämpftes Licht: im Bürgerbüro, im Schwimmbad, im Museum. Dazu Infostand und Cor.-System erklären.</w:t>
            </w:r>
          </w:p>
        </w:tc>
        <w:tc>
          <w:tcPr>
            <w:tcW w:type="dxa" w:w="3233"/>
            <w:tcBorders>
              <w:top w:val="single" w:color="4f8a5b" w:sz="4"/>
              <w:left w:val="single" w:color="4f8a5b" w:sz="4"/>
              <w:bottom w:val="single" w:color="4f8a5b" w:sz="4"/>
              <w:right w:val="single" w:color="4f8a5b" w:sz="4"/>
            </w:tcBorders>
            <w:shd w:fill="eef5ee"/>
            <w:tcMar>
              <w:top w:type="dxa" w:w="130"/>
              <w:left w:type="dxa" w:w="150"/>
              <w:bottom w:type="dxa" w:w="130"/>
              <w:right w:type="dxa" w:w="150"/>
            </w:tcMar>
          </w:tcPr>
          <w:p>
            <w:pPr>
              <w:spacing w:after="50"/>
            </w:pPr>
            <w:r>
              <w:rPr>
                <w:b/>
                <w:bCs/>
                <w:color w:val="4f8a5b"/>
                <w:sz w:val="26"/>
                <w:szCs w:val="26"/>
              </w:rPr>
              <w:t xml:space="preserve">3</w:t>
            </w:r>
          </w:p>
          <w:p>
            <w:pPr>
              <w:spacing w:after="40"/>
            </w:pPr>
            <w:r>
              <w:rPr>
                <w:b/>
                <w:bCs/>
                <w:color w:val="17385c"/>
                <w:sz w:val="19"/>
                <w:szCs w:val="19"/>
              </w:rPr>
              <w:t xml:space="preserve">Feiern</w:t>
            </w:r>
          </w:p>
          <w:p>
            <w:r>
              <w:rPr>
                <w:color w:val="2c2a28"/>
                <w:sz w:val="17"/>
                <w:szCs w:val="17"/>
              </w:rPr>
              <w:t xml:space="preserve">Eine eigene Veranstaltung umsetzen – Ausstellung, feste Stille Stunde oder Public Viewing von LIORA.Live.</w:t>
            </w:r>
          </w:p>
        </w:tc>
      </w:tr>
    </w:tbl>
    <w:p>
      <w:pPr>
        <w:spacing w:after="60"/>
      </w:pPr>
    </w:p>
    <w:p>
      <w:pPr>
        <w:spacing w:after="120" w:line="264"/>
      </w:pPr>
      <w:r>
        <w:rPr>
          <w:color w:val="2c2a28"/>
          <w:sz w:val="21"/>
          <w:szCs w:val="21"/>
        </w:rPr>
        <w:t xml:space="preserve">Es gibt noch viel mehr, was Sie tun können: Wir arbeiten gerade an </w:t>
      </w:r>
      <w:r>
        <w:rPr>
          <w:b/>
          <w:bCs/>
          <w:color w:val="2c2a28"/>
          <w:sz w:val="21"/>
          <w:szCs w:val="21"/>
        </w:rPr>
        <w:t xml:space="preserve">39 Leitfäden</w:t>
      </w:r>
      <w:r>
        <w:rPr>
          <w:color w:val="2c2a28"/>
          <w:sz w:val="21"/>
          <w:szCs w:val="21"/>
        </w:rPr>
        <w:t xml:space="preserve"> für alle Lebenslagen, dazu eine </w:t>
      </w:r>
      <w:r>
        <w:rPr>
          <w:b/>
          <w:bCs/>
          <w:color w:val="2c2a28"/>
          <w:sz w:val="21"/>
          <w:szCs w:val="21"/>
        </w:rPr>
        <w:t xml:space="preserve">Excel-Liste zur Selbsteinschätzung</w:t>
      </w:r>
      <w:r>
        <w:rPr>
          <w:color w:val="2c2a28"/>
          <w:sz w:val="21"/>
          <w:szCs w:val="21"/>
        </w:rPr>
        <w:t xml:space="preserve">. Wir hoffen, dass sie Ihnen auch bei Anfragen von Bürgerinnen und Bürgern helfen. Wir veröffentlichen sie am 20. Oktober — reinschauen können Sie aber schon jetzt: </w:t>
      </w:r>
      <w:hyperlink w:history="1" r:id="rId5xwtbecy_fkq-cfrvlggd">
        <w:r>
          <w:rPr>
            <w:color w:val="267997"/>
            <w:sz w:val="21"/>
            <w:szCs w:val="21"/>
            <w:u w:val="single"/>
          </w:rPr>
          <w:t xml:space="preserve">Zu den Leitfäden</w:t>
        </w:r>
      </w:hyperlink>
    </w:p>
    <w:p>
      <w:pPr>
        <w:spacing w:after="50"/>
      </w:pP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267997" w:sz="24"/>
              <w:bottom w:val="none"/>
              <w:right w:val="none"/>
            </w:tcBorders>
            <w:shd w:fill="eef5f8"/>
            <w:tcMar>
              <w:top w:type="dxa" w:w="150"/>
              <w:left w:type="dxa" w:w="200"/>
              <w:bottom w:type="dxa" w:w="150"/>
              <w:right w:type="dxa" w:w="200"/>
            </w:tcMar>
          </w:tcPr>
          <w:p>
            <w:pPr>
              <w:spacing w:after="70"/>
            </w:pPr>
            <w:r>
              <w:rPr>
                <w:b/>
                <w:bCs/>
                <w:color w:val="267997"/>
                <w:sz w:val="22"/>
                <w:szCs w:val="22"/>
              </w:rPr>
              <w:t xml:space="preserve">Ganz wichtig: einfacher Zugang zum Ausweis</w:t>
            </w:r>
          </w:p>
          <w:p>
            <w:pPr>
              <w:spacing w:line="264"/>
            </w:pPr>
            <w:r>
              <w:rPr>
                <w:color w:val="2c2a28"/>
                <w:sz w:val="21"/>
                <w:szCs w:val="21"/>
              </w:rPr>
              <w:t xml:space="preserve">Sorgen Sie dafür, dass Menschen mit nicht sichtbaren Behinderungen den Ausweis leicht bekommen – zum Beispiel im Bürgerbüro, bei Anlaufstellen oder als Download. Den Ausweis können Sie dabei selbst anpassen und das Logo Ihrer Stadt oder Ihres Kreises einfügen: </w:t>
            </w:r>
            <w:hyperlink w:history="1" r:id="rId-bnhhl6txznp90cmr65om">
              <w:r>
                <w:rPr>
                  <w:color w:val="267997"/>
                  <w:sz w:val="21"/>
                  <w:szCs w:val="21"/>
                  <w:u w:val="single"/>
                </w:rPr>
                <w:t xml:space="preserve">Ausweis anpassen (Canva)</w:t>
              </w:r>
            </w:hyperlink>
          </w:p>
        </w:tc>
      </w:tr>
    </w:tbl>
    <w:p>
      <w:pPr>
        <w:keepNext/>
        <w:spacing w:after="120" w:before="300"/>
      </w:pPr>
      <w:r>
        <w:rPr>
          <w:b/>
          <w:bCs/>
          <w:color w:val="267997"/>
          <w:sz w:val="25"/>
          <w:szCs w:val="25"/>
        </w:rPr>
        <w:t xml:space="preserve">Das Community-Konzept – was jede Gruppe tun kann</w:t>
      </w:r>
    </w:p>
    <w:p>
      <w:pPr>
        <w:spacing w:after="150"/>
      </w:pPr>
      <w:r>
        <w:rPr>
          <w:color w:val="2c2a28"/>
          <w:sz w:val="21"/>
          <w:szCs w:val="21"/>
        </w:rPr>
        <w:t xml:space="preserve">Für jede Gruppe liegt ein fertiges Paket bereit. Sie können die folgenden Absätze direkt weiterleiten – jeder ist so geschrieben, dass die jeweilige Gruppe ihn 1:1 übernehmen kann. Alles gebündelt online: </w:t>
      </w:r>
      <w:hyperlink w:history="1" r:id="rIdmwb_n3oobp-exngz94u7r">
        <w:r>
          <w:rPr>
            <w:color w:val="267997"/>
            <w:sz w:val="21"/>
            <w:szCs w:val="21"/>
            <w:u w:val="single"/>
          </w:rPr>
          <w:t xml:space="preserve">stille-stunde.com · Community-Konzept</w:t>
        </w:r>
      </w:hyperlink>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267997" w:sz="24"/>
              <w:bottom w:val="none"/>
              <w:right w:val="none"/>
            </w:tcBorders>
            <w:shd w:fill="eef5f8"/>
            <w:tcMar>
              <w:top w:type="dxa" w:w="140"/>
              <w:left w:type="dxa" w:w="200"/>
              <w:bottom w:type="dxa" w:w="140"/>
              <w:right w:type="dxa" w:w="200"/>
            </w:tcMar>
          </w:tcPr>
          <w:p>
            <w:pPr>
              <w:spacing w:after="70"/>
            </w:pPr>
            <w:r>
              <w:rPr>
                <w:b/>
                <w:bCs/>
                <w:color w:val="17385c"/>
                <w:sz w:val="22"/>
                <w:szCs w:val="22"/>
              </w:rPr>
              <w:t xml:space="preserve">Kindergarten</w:t>
            </w:r>
            <w:r>
              <w:rPr>
                <w:b/>
                <w:bCs/>
                <w:color w:val="267997"/>
                <w:sz w:val="18"/>
                <w:szCs w:val="18"/>
              </w:rPr>
              <w:t xml:space="preserve">   Fokus: </w:t>
            </w:r>
            <w:r>
              <w:rPr>
                <w:color w:val="267997"/>
                <w:sz w:val="18"/>
                <w:szCs w:val="18"/>
              </w:rPr>
              <w:t xml:space="preserve">die Kinder</w:t>
            </w:r>
          </w:p>
          <w:p>
            <w:pPr>
              <w:spacing w:after="70" w:line="264"/>
            </w:pPr>
            <w:r>
              <w:rPr>
                <w:color w:val="2c2a28"/>
                <w:sz w:val="21"/>
                <w:szCs w:val="21"/>
              </w:rPr>
              <w:t xml:space="preserve">Gerade im Kindergarten sind viele Kinder mit Autismus oder ADHS im freien Spiel – dort, wo es laut und wenig strukturiert zugeht, brauchen sie besondere Sensibilität. Am Aktionstag sensibilisieren wir spielerisch für das Thema: Mit </w:t>
            </w:r>
            <w:r>
              <w:rPr>
                <w:b/>
                <w:bCs/>
                <w:color w:val="2c2a28"/>
                <w:sz w:val="21"/>
                <w:szCs w:val="21"/>
              </w:rPr>
              <w:t xml:space="preserve">Ausmalbildern</w:t>
            </w:r>
            <w:r>
              <w:rPr>
                <w:color w:val="2c2a28"/>
                <w:sz w:val="21"/>
                <w:szCs w:val="21"/>
              </w:rPr>
              <w:t xml:space="preserve"> und einer kleinen </w:t>
            </w:r>
            <w:r>
              <w:rPr>
                <w:b/>
                <w:bCs/>
                <w:color w:val="2c2a28"/>
                <w:sz w:val="21"/>
                <w:szCs w:val="21"/>
              </w:rPr>
              <w:t xml:space="preserve">Umfrage</w:t>
            </w:r>
            <w:r>
              <w:rPr>
                <w:color w:val="2c2a28"/>
                <w:sz w:val="21"/>
                <w:szCs w:val="21"/>
              </w:rPr>
              <w:t xml:space="preserve"> kommen die Kinder ins Gespräch und machen ein Gruppenfoto mit dem Handzeichen.</w:t>
            </w:r>
          </w:p>
          <w:p>
            <w:r>
              <w:rPr>
                <w:b/>
                <w:bCs/>
                <w:color w:val="772327"/>
                <w:sz w:val="17"/>
                <w:szCs w:val="17"/>
              </w:rPr>
              <w:t xml:space="preserve">Im Paket: </w:t>
            </w:r>
            <w:r>
              <w:rPr>
                <w:color w:val="5f5a57"/>
                <w:sz w:val="17"/>
                <w:szCs w:val="17"/>
              </w:rPr>
              <w:t xml:space="preserve">Ausmalbilder, Umfrage, Anschreiben.</w:t>
            </w:r>
          </w:p>
        </w:tc>
      </w:tr>
    </w:tbl>
    <w:p>
      <w:pPr>
        <w:spacing w:after="90"/>
      </w:pP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4f8a5b" w:sz="24"/>
              <w:bottom w:val="none"/>
              <w:right w:val="none"/>
            </w:tcBorders>
            <w:shd w:fill="eef5ee"/>
            <w:tcMar>
              <w:top w:type="dxa" w:w="140"/>
              <w:left w:type="dxa" w:w="200"/>
              <w:bottom w:type="dxa" w:w="140"/>
              <w:right w:type="dxa" w:w="200"/>
            </w:tcMar>
          </w:tcPr>
          <w:p>
            <w:pPr>
              <w:spacing w:after="70"/>
            </w:pPr>
            <w:r>
              <w:rPr>
                <w:b/>
                <w:bCs/>
                <w:color w:val="17385c"/>
                <w:sz w:val="22"/>
                <w:szCs w:val="22"/>
              </w:rPr>
              <w:t xml:space="preserve">Schule</w:t>
            </w:r>
            <w:r>
              <w:rPr>
                <w:b/>
                <w:bCs/>
                <w:color w:val="4f8a5b"/>
                <w:sz w:val="18"/>
                <w:szCs w:val="18"/>
              </w:rPr>
              <w:t xml:space="preserve">   Fokus: </w:t>
            </w:r>
            <w:r>
              <w:rPr>
                <w:color w:val="4f8a5b"/>
                <w:sz w:val="18"/>
                <w:szCs w:val="18"/>
              </w:rPr>
              <w:t xml:space="preserve">die Schülerinnen und Schüler</w:t>
            </w:r>
          </w:p>
          <w:p>
            <w:pPr>
              <w:spacing w:after="70" w:line="264"/>
            </w:pPr>
            <w:r>
              <w:rPr>
                <w:color w:val="2c2a28"/>
                <w:sz w:val="21"/>
                <w:szCs w:val="21"/>
              </w:rPr>
              <w:t xml:space="preserve">In der Schule lässt sich auf zwei Wegen am Thema arbeiten: mit unserem </w:t>
            </w:r>
            <w:r>
              <w:rPr>
                <w:b/>
                <w:bCs/>
                <w:color w:val="2c2a28"/>
                <w:sz w:val="21"/>
                <w:szCs w:val="21"/>
              </w:rPr>
              <w:t xml:space="preserve">Handbuch für den Unterricht</w:t>
            </w:r>
            <w:r>
              <w:rPr>
                <w:color w:val="2c2a28"/>
                <w:sz w:val="21"/>
                <w:szCs w:val="21"/>
              </w:rPr>
              <w:t xml:space="preserve"> und mit der </w:t>
            </w:r>
            <w:r>
              <w:rPr>
                <w:b/>
                <w:bCs/>
                <w:color w:val="2c2a28"/>
                <w:sz w:val="21"/>
                <w:szCs w:val="21"/>
              </w:rPr>
              <w:t xml:space="preserve">Umfrage</w:t>
            </w:r>
            <w:r>
              <w:rPr>
                <w:color w:val="2c2a28"/>
                <w:sz w:val="21"/>
                <w:szCs w:val="21"/>
              </w:rPr>
              <w:t xml:space="preserve">, die zeigt, wie unterschiedlich Kinder Reize erleben. So wird Vielfalt zum Unterrichtsthema – und die Klasse kann ein gemeinsames Gruppenfoto einsenden.</w:t>
            </w:r>
          </w:p>
          <w:p>
            <w:r>
              <w:rPr>
                <w:b/>
                <w:bCs/>
                <w:color w:val="772327"/>
                <w:sz w:val="17"/>
                <w:szCs w:val="17"/>
              </w:rPr>
              <w:t xml:space="preserve">Im Paket: </w:t>
            </w:r>
            <w:r>
              <w:rPr>
                <w:color w:val="5f5a57"/>
                <w:sz w:val="17"/>
                <w:szCs w:val="17"/>
              </w:rPr>
              <w:t xml:space="preserve">Handbuch, Umfrage, Anschreiben.</w:t>
            </w:r>
          </w:p>
        </w:tc>
      </w:tr>
    </w:tbl>
    <w:p>
      <w:pPr>
        <w:spacing w:after="90"/>
      </w:pP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a9772a" w:sz="24"/>
              <w:bottom w:val="none"/>
              <w:right w:val="none"/>
            </w:tcBorders>
            <w:shd w:fill="faf3e6"/>
            <w:tcMar>
              <w:top w:type="dxa" w:w="140"/>
              <w:left w:type="dxa" w:w="200"/>
              <w:bottom w:type="dxa" w:w="140"/>
              <w:right w:type="dxa" w:w="200"/>
            </w:tcMar>
          </w:tcPr>
          <w:p>
            <w:pPr>
              <w:spacing w:after="70"/>
            </w:pPr>
            <w:r>
              <w:rPr>
                <w:b/>
                <w:bCs/>
                <w:color w:val="17385c"/>
                <w:sz w:val="22"/>
                <w:szCs w:val="22"/>
              </w:rPr>
              <w:t xml:space="preserve">Wirtschaft &amp; Handel</w:t>
            </w:r>
            <w:r>
              <w:rPr>
                <w:b/>
                <w:bCs/>
                <w:color w:val="a9772a"/>
                <w:sz w:val="18"/>
                <w:szCs w:val="18"/>
              </w:rPr>
              <w:t xml:space="preserve">   Fokus: </w:t>
            </w:r>
            <w:r>
              <w:rPr>
                <w:color w:val="a9772a"/>
                <w:sz w:val="18"/>
                <w:szCs w:val="18"/>
              </w:rPr>
              <w:t xml:space="preserve">Kundschaft und Mitarbeitende</w:t>
            </w:r>
          </w:p>
          <w:p>
            <w:pPr>
              <w:spacing w:after="70" w:line="264"/>
            </w:pPr>
            <w:r>
              <w:rPr>
                <w:color w:val="2c2a28"/>
                <w:sz w:val="21"/>
                <w:szCs w:val="21"/>
              </w:rPr>
              <w:t xml:space="preserve">Unternehmen und Handel können auf drei Ebenen mitmachen: </w:t>
            </w:r>
            <w:r>
              <w:rPr>
                <w:b/>
                <w:bCs/>
                <w:color w:val="2c2a28"/>
                <w:sz w:val="21"/>
                <w:szCs w:val="21"/>
              </w:rPr>
              <w:t xml:space="preserve">erstens</w:t>
            </w:r>
            <w:r>
              <w:rPr>
                <w:color w:val="2c2a28"/>
                <w:sz w:val="21"/>
                <w:szCs w:val="21"/>
              </w:rPr>
              <w:t xml:space="preserve"> direkt bei LIORA.Live dabei sein, </w:t>
            </w:r>
            <w:r>
              <w:rPr>
                <w:b/>
                <w:bCs/>
                <w:color w:val="2c2a28"/>
                <w:sz w:val="21"/>
                <w:szCs w:val="21"/>
              </w:rPr>
              <w:t xml:space="preserve">zweitens</w:t>
            </w:r>
            <w:r>
              <w:rPr>
                <w:color w:val="2c2a28"/>
                <w:sz w:val="21"/>
                <w:szCs w:val="21"/>
              </w:rPr>
              <w:t xml:space="preserve"> selbst eine </w:t>
            </w:r>
            <w:r>
              <w:rPr>
                <w:b/>
                <w:bCs/>
                <w:color w:val="2c2a28"/>
                <w:sz w:val="21"/>
                <w:szCs w:val="21"/>
              </w:rPr>
              <w:t xml:space="preserve">Stille Stunde</w:t>
            </w:r>
            <w:r>
              <w:rPr>
                <w:color w:val="2c2a28"/>
                <w:sz w:val="21"/>
                <w:szCs w:val="21"/>
              </w:rPr>
              <w:t xml:space="preserve"> einführen – eine feste, reizarme Zeit im Geschäft – und </w:t>
            </w:r>
            <w:r>
              <w:rPr>
                <w:b/>
                <w:bCs/>
                <w:color w:val="2c2a28"/>
                <w:sz w:val="21"/>
                <w:szCs w:val="21"/>
              </w:rPr>
              <w:t xml:space="preserve">drittens</w:t>
            </w:r>
            <w:r>
              <w:rPr>
                <w:color w:val="2c2a28"/>
                <w:sz w:val="21"/>
                <w:szCs w:val="21"/>
              </w:rPr>
              <w:t xml:space="preserve"> im Kundenkontakt klare, reizärmere Abläufe schaffen. Für diese dienstleistenden Maßnahmen können sich Teams mit dem Cor.-System und unseren Leitfäden weiterbilden.</w:t>
            </w:r>
          </w:p>
          <w:p>
            <w:r>
              <w:rPr>
                <w:b/>
                <w:bCs/>
                <w:color w:val="772327"/>
                <w:sz w:val="17"/>
                <w:szCs w:val="17"/>
              </w:rPr>
              <w:t xml:space="preserve">Im Paket: </w:t>
            </w:r>
            <w:r>
              <w:rPr>
                <w:color w:val="5f5a57"/>
                <w:sz w:val="17"/>
                <w:szCs w:val="17"/>
              </w:rPr>
              <w:t xml:space="preserve">Ausweis, Button-/Distanz-/Sitzplatzkarte, Leitfaden, Anschreiben.</w:t>
            </w:r>
          </w:p>
        </w:tc>
      </w:tr>
    </w:tbl>
    <w:p>
      <w:pPr>
        <w:spacing w:after="90"/>
      </w:pP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772327" w:sz="24"/>
              <w:bottom w:val="none"/>
              <w:right w:val="none"/>
            </w:tcBorders>
            <w:shd w:fill="f7eeee"/>
            <w:tcMar>
              <w:top w:type="dxa" w:w="140"/>
              <w:left w:type="dxa" w:w="200"/>
              <w:bottom w:type="dxa" w:w="140"/>
              <w:right w:type="dxa" w:w="200"/>
            </w:tcMar>
          </w:tcPr>
          <w:p>
            <w:pPr>
              <w:spacing w:after="70"/>
            </w:pPr>
            <w:r>
              <w:rPr>
                <w:b/>
                <w:bCs/>
                <w:color w:val="17385c"/>
                <w:sz w:val="22"/>
                <w:szCs w:val="22"/>
              </w:rPr>
              <w:t xml:space="preserve">Gesundheit, Pflege &amp; Rettung</w:t>
            </w:r>
            <w:r>
              <w:rPr>
                <w:b/>
                <w:bCs/>
                <w:color w:val="772327"/>
                <w:sz w:val="18"/>
                <w:szCs w:val="18"/>
              </w:rPr>
              <w:t xml:space="preserve">   Fokus: </w:t>
            </w:r>
            <w:r>
              <w:rPr>
                <w:color w:val="772327"/>
                <w:sz w:val="18"/>
                <w:szCs w:val="18"/>
              </w:rPr>
              <w:t xml:space="preserve">die Patientinnen und Patienten</w:t>
            </w:r>
          </w:p>
          <w:p>
            <w:pPr>
              <w:spacing w:after="70" w:line="264"/>
            </w:pPr>
            <w:r>
              <w:rPr>
                <w:color w:val="2c2a28"/>
                <w:sz w:val="21"/>
                <w:szCs w:val="21"/>
              </w:rPr>
              <w:t xml:space="preserve">Hier entscheidet oft die Umgebung: Wer das </w:t>
            </w:r>
            <w:r>
              <w:rPr>
                <w:b/>
                <w:bCs/>
                <w:color w:val="2c2a28"/>
                <w:sz w:val="21"/>
                <w:szCs w:val="21"/>
              </w:rPr>
              <w:t xml:space="preserve">Cor.-System</w:t>
            </w:r>
            <w:r>
              <w:rPr>
                <w:color w:val="2c2a28"/>
                <w:sz w:val="21"/>
                <w:szCs w:val="21"/>
              </w:rPr>
              <w:t xml:space="preserve"> kennt, auf Signale achtet und reizarme, klare Abläufe ermöglicht, nimmt Patientinnen und Patienten Angst und Überforderung. Unser freiwilliger Bogen „Unterstützung und Sichtbarkeit“ hilft, den individuellen Bedarf schnell zu erfassen.</w:t>
            </w:r>
            <w:r>
              <w:rPr>
                <w:b/>
                <w:bCs/>
                <w:color w:val="2c2a28"/>
                <w:sz w:val="21"/>
                <w:szCs w:val="21"/>
              </w:rPr>
              <w:t xml:space="preserve"/>
            </w:r>
            <w:r>
              <w:rPr>
                <w:color w:val="2c2a28"/>
                <w:sz w:val="21"/>
                <w:szCs w:val="21"/>
              </w:rPr>
              <w:t xml:space="preserve"/>
            </w:r>
          </w:p>
          <w:p>
            <w:r>
              <w:rPr>
                <w:b/>
                <w:bCs/>
                <w:color w:val="772327"/>
                <w:sz w:val="17"/>
                <w:szCs w:val="17"/>
              </w:rPr>
              <w:t xml:space="preserve">Im Paket: Bogen „Unterstützung und Sichtbarkeit“, Distanzkarte,</w:t>
            </w:r>
            <w:r>
              <w:rPr>
                <w:color w:val="5f5a57"/>
                <w:sz w:val="17"/>
                <w:szCs w:val="17"/>
              </w:rPr>
              <w:t xml:space="preserve"> „Cor.-System kurz erklärt“, Anschreiben.</w:t>
            </w:r>
          </w:p>
        </w:tc>
      </w:tr>
    </w:tbl>
    <w:p>
      <w:pPr>
        <w:spacing w:after="90"/>
      </w:pP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7a4a7e" w:sz="24"/>
              <w:bottom w:val="none"/>
              <w:right w:val="none"/>
            </w:tcBorders>
            <w:shd w:fill="f4eef4"/>
            <w:tcMar>
              <w:top w:type="dxa" w:w="140"/>
              <w:left w:type="dxa" w:w="200"/>
              <w:bottom w:type="dxa" w:w="140"/>
              <w:right w:type="dxa" w:w="200"/>
            </w:tcMar>
          </w:tcPr>
          <w:p>
            <w:pPr>
              <w:spacing w:after="70"/>
            </w:pPr>
            <w:r>
              <w:rPr>
                <w:b/>
                <w:bCs/>
                <w:color w:val="17385c"/>
                <w:sz w:val="22"/>
                <w:szCs w:val="22"/>
              </w:rPr>
              <w:t xml:space="preserve">Vereine &amp; Selbsthilfegruppen</w:t>
            </w:r>
            <w:r>
              <w:rPr>
                <w:b/>
                <w:bCs/>
                <w:color w:val="7a4a7e"/>
                <w:sz w:val="18"/>
                <w:szCs w:val="18"/>
              </w:rPr>
              <w:t xml:space="preserve">   Fokus: </w:t>
            </w:r>
            <w:r>
              <w:rPr>
                <w:color w:val="7a4a7e"/>
                <w:sz w:val="18"/>
                <w:szCs w:val="18"/>
              </w:rPr>
              <w:t xml:space="preserve">die Mitglieder</w:t>
            </w:r>
          </w:p>
          <w:p>
            <w:pPr>
              <w:spacing w:after="70" w:line="264"/>
            </w:pPr>
            <w:r>
              <w:rPr>
                <w:color w:val="2c2a28"/>
                <w:sz w:val="21"/>
                <w:szCs w:val="21"/>
              </w:rPr>
              <w:t xml:space="preserve">Vereine und Selbsthilfegruppen erzählen vom Konzept und senden bis zum </w:t>
            </w:r>
            <w:r>
              <w:rPr>
                <w:b/>
                <w:bCs/>
                <w:color w:val="2c2a28"/>
                <w:sz w:val="21"/>
                <w:szCs w:val="21"/>
              </w:rPr>
              <w:t xml:space="preserve">10. Oktober</w:t>
            </w:r>
            <w:r>
              <w:rPr>
                <w:color w:val="2c2a28"/>
                <w:sz w:val="21"/>
                <w:szCs w:val="21"/>
              </w:rPr>
              <w:t xml:space="preserve"> ein Gruppenfoto mit dem Handzeichen ein – am Aktionstag wird es mit Namen eingeblendet.</w:t>
            </w:r>
          </w:p>
          <w:p>
            <w:r>
              <w:rPr>
                <w:b/>
                <w:bCs/>
                <w:color w:val="772327"/>
                <w:sz w:val="17"/>
                <w:szCs w:val="17"/>
              </w:rPr>
              <w:t xml:space="preserve">Im Paket: </w:t>
            </w:r>
            <w:r>
              <w:rPr>
                <w:color w:val="5f5a57"/>
                <w:sz w:val="17"/>
                <w:szCs w:val="17"/>
              </w:rPr>
              <w:t xml:space="preserve">Ausweis, Flyer, Foto-Einwilligung, Anschreiben.</w:t>
            </w:r>
          </w:p>
        </w:tc>
      </w:tr>
    </w:tbl>
    <w:p>
      <w:pPr>
        <w:keepNext/>
        <w:spacing w:after="120" w:before="300"/>
      </w:pPr>
      <w:r>
        <w:rPr>
          <w:b/>
          <w:bCs/>
          <w:color w:val="267997"/>
          <w:sz w:val="25"/>
          <w:szCs w:val="25"/>
        </w:rPr>
        <w:t xml:space="preserve">Zugang zu den Materialien</w:t>
      </w:r>
    </w:p>
    <w:p>
      <w:pPr>
        <w:pStyle w:val="ListParagraph"/>
        <w:numPr>
          <w:ilvl w:val="0"/>
          <w:numId w:val="2"/>
        </w:numPr>
        <w:spacing w:after="90" w:line="258"/>
      </w:pPr>
      <w:r>
        <w:rPr>
          <w:color w:val="2c2a28"/>
          <w:sz w:val="21"/>
          <w:szCs w:val="21"/>
        </w:rPr>
        <w:t xml:space="preserve">Für alle Gruppen gebündelt: </w:t>
      </w:r>
      <w:hyperlink w:history="1" r:id="rId-clisd2xsjxlp4ifqdnvi">
        <w:r>
          <w:rPr>
            <w:color w:val="267997"/>
            <w:sz w:val="21"/>
            <w:szCs w:val="21"/>
            <w:u w:val="single"/>
          </w:rPr>
          <w:t xml:space="preserve">stille-stunde.com · Community-Konzept</w:t>
        </w:r>
      </w:hyperlink>
    </w:p>
    <w:p>
      <w:pPr>
        <w:pStyle w:val="ListParagraph"/>
        <w:numPr>
          <w:ilvl w:val="0"/>
          <w:numId w:val="2"/>
        </w:numPr>
        <w:spacing w:after="90" w:line="258"/>
      </w:pPr>
      <w:r>
        <w:rPr>
          <w:color w:val="2c2a28"/>
          <w:sz w:val="21"/>
          <w:szCs w:val="21"/>
        </w:rPr>
        <w:t xml:space="preserve">Für jede Gruppe einzeln – alle Daten und Vorlagen zum Herunterladen: </w:t>
      </w:r>
      <w:hyperlink r:id="rId5xwtbecy_fkq-cfrvlggd" w:history="1">
        <w:r>
          <w:rPr>
            <w:color w:val="267997"/>
            <w:sz w:val="21"/>
            <w:szCs w:val="21"/>
            <w:u w:val="single"/>
          </w:rPr>
          <w:t xml:space="preserve">Zu den Materialien</w:t>
        </w:r>
      </w:hyperlink>
    </w:p>
    <w:p>
      <w:pPr>
        <w:keepNext/>
        <w:spacing w:after="120" w:before="300"/>
      </w:pPr>
      <w:r>
        <w:rPr>
          <w:b/>
          <w:bCs/>
          <w:color w:val="267997"/>
          <w:sz w:val="25"/>
          <w:szCs w:val="25"/>
        </w:rPr>
        <w:t xml:space="preserve">Mitmachen: Ihr Gruppenfoto</w:t>
      </w:r>
    </w:p>
    <w:p>
      <w:pPr>
        <w:spacing w:after="170" w:line="264"/>
      </w:pPr>
      <w:r>
        <w:rPr>
          <w:color w:val="2c2a28"/>
          <w:sz w:val="21"/>
          <w:szCs w:val="21"/>
        </w:rPr>
        <w:t xml:space="preserve">Zeigen Sie im Team das Handzeichen oder das Cor.-Schild und senden Sie Ihr Foto bis zum </w:t>
      </w:r>
      <w:r>
        <w:rPr>
          <w:b/>
          <w:bCs/>
          <w:color w:val="2c2a28"/>
          <w:sz w:val="21"/>
          <w:szCs w:val="21"/>
        </w:rPr>
        <w:t xml:space="preserve">10. Oktober</w:t>
      </w:r>
      <w:r>
        <w:rPr>
          <w:color w:val="2c2a28"/>
          <w:sz w:val="21"/>
          <w:szCs w:val="21"/>
        </w:rPr>
        <w:t xml:space="preserve"> an post@stille-stunde.com – am Aktionstag wird es mit Namen eingeblendet. Dazu gehört die beiliegende Foto-Einwilligung (ein Formular je Person; Schulen und Kitas bestätigen intern). Wer mag, gestaltet sein Foto mit unserer Canva-Vorlage gleich im LIORA-Style.</w:t>
      </w:r>
    </w:p>
    <w:p>
      <w:pPr>
        <w:keepNext/>
        <w:spacing w:after="120" w:before="300"/>
      </w:pPr>
      <w:r>
        <w:rPr>
          <w:b/>
          <w:bCs/>
          <w:color w:val="267997"/>
          <w:sz w:val="25"/>
          <w:szCs w:val="25"/>
        </w:rPr>
        <w:t xml:space="preserve">LIORA.Live – das Fest zum Aktionstag</w:t>
      </w:r>
    </w:p>
    <w:p>
      <w:pPr>
        <w:spacing w:after="170" w:line="264"/>
      </w:pPr>
      <w:r>
        <w:rPr>
          <w:color w:val="2c2a28"/>
          <w:sz w:val="21"/>
          <w:szCs w:val="21"/>
        </w:rPr>
        <w:t xml:space="preserve">Auf Einladung von </w:t>
      </w:r>
      <w:r>
        <w:rPr>
          <w:b/>
          <w:bCs/>
          <w:color w:val="2c2a28"/>
          <w:sz w:val="21"/>
          <w:szCs w:val="21"/>
        </w:rPr>
        <w:t xml:space="preserve">„Schalke hilft!“</w:t>
      </w:r>
      <w:r>
        <w:rPr>
          <w:color w:val="2c2a28"/>
          <w:sz w:val="21"/>
          <w:szCs w:val="21"/>
        </w:rPr>
        <w:t xml:space="preserve"> richten wir </w:t>
      </w:r>
      <w:r>
        <w:rPr>
          <w:b/>
          <w:bCs/>
          <w:color w:val="2c2a28"/>
          <w:sz w:val="21"/>
          <w:szCs w:val="21"/>
        </w:rPr>
        <w:t xml:space="preserve">LIORA.Live</w:t>
      </w:r>
      <w:r>
        <w:rPr>
          <w:color w:val="2c2a28"/>
          <w:sz w:val="21"/>
          <w:szCs w:val="21"/>
        </w:rPr>
        <w:t xml:space="preserve"> in der Veltins-Arena in Gelsenkirchen aus – ab </w:t>
      </w:r>
      <w:r>
        <w:rPr>
          <w:b/>
          <w:bCs/>
          <w:color w:val="2c2a28"/>
          <w:sz w:val="21"/>
          <w:szCs w:val="21"/>
        </w:rPr>
        <w:t xml:space="preserve">17 Uhr live</w:t>
      </w:r>
      <w:r>
        <w:rPr>
          <w:color w:val="2c2a28"/>
          <w:sz w:val="21"/>
          <w:szCs w:val="21"/>
        </w:rPr>
        <w:t xml:space="preserve"> auf YouTube, mit Molly Sue (ESC-Finalistin 2026), Raul Krauthausen, der Modedesignerin Sema Gedik, einer Deaf-Tanz-Performance und vielen mehr. </w:t>
      </w:r>
      <w:hyperlink w:history="1" r:id="rIdzdubi3cpo29ogeqwr2joh">
        <w:r>
          <w:rPr>
            <w:color w:val="267997"/>
            <w:sz w:val="21"/>
            <w:szCs w:val="21"/>
            <w:u w:val="single"/>
          </w:rPr>
          <w:t xml:space="preserve">Zum Live-Stream</w:t>
        </w:r>
      </w:hyperlink>
      <w:r>
        <w:rPr>
          <w:color w:val="2c2a28"/>
          <w:sz w:val="21"/>
          <w:szCs w:val="21"/>
        </w:rPr>
        <w:t xml:space="preserve">.</w:t>
      </w:r>
    </w:p>
    <w:p>
      <w:pPr>
        <w:spacing w:after="170" w:line="264"/>
      </w:pPr>
      <w:r>
        <w:rPr>
          <w:color w:val="2c2a28"/>
          <w:sz w:val="21"/>
          <w:szCs w:val="21"/>
        </w:rPr>
        <w:t xml:space="preserve">Das </w:t>
      </w:r>
      <w:r>
        <w:rPr>
          <w:b/>
          <w:bCs/>
          <w:color w:val="2c2a28"/>
          <w:sz w:val="21"/>
          <w:szCs w:val="21"/>
        </w:rPr>
        <w:t xml:space="preserve">LIORA.Live-Plakat</w:t>
      </w:r>
      <w:r>
        <w:rPr>
          <w:color w:val="2c2a28"/>
          <w:sz w:val="21"/>
          <w:szCs w:val="21"/>
        </w:rPr>
        <w:t xml:space="preserve"> liegt im Ordner „Dokument für alle“ unter „LIORA LIVE Aktionen“ (LIORA_Live_Plakat.pdf) – zum Aushängen und Teilen. Lust auf die Bühne? Für das Fest gibt es ein </w:t>
      </w:r>
      <w:r>
        <w:rPr>
          <w:b/>
          <w:bCs/>
          <w:color w:val="2c2a28"/>
          <w:sz w:val="21"/>
          <w:szCs w:val="21"/>
        </w:rPr>
        <w:t xml:space="preserve">Casting</w:t>
      </w:r>
      <w:r>
        <w:rPr>
          <w:color w:val="2c2a28"/>
          <w:sz w:val="21"/>
          <w:szCs w:val="21"/>
        </w:rPr>
        <w:t xml:space="preserve">; gefeiert wird in Gelsenkirchen. An- und Abreise tragen die Ehrenamtlichen selbst, Kosten können wir leider nicht übernehmen – dafür erleben Sie einen Abend, den es so noch nicht gab. Ehrenamtliche mit Behinderungen sind besonders gern gesehen. Hängen Sie gern den </w:t>
      </w:r>
      <w:hyperlink w:history="1" r:id="rId1_8yjxe8yidfyahu2uee2">
        <w:r>
          <w:rPr>
            <w:color w:val="267997"/>
            <w:sz w:val="21"/>
            <w:szCs w:val="21"/>
            <w:u w:val="single"/>
          </w:rPr>
          <w:t xml:space="preserve">Casting-Aushang</w:t>
        </w:r>
      </w:hyperlink>
      <w:r>
        <w:rPr>
          <w:color w:val="2c2a28"/>
          <w:sz w:val="21"/>
          <w:szCs w:val="21"/>
        </w:rPr>
        <w:t xml:space="preserve"> aus. Das </w:t>
      </w:r>
      <w:r>
        <w:rPr>
          <w:b/>
          <w:bCs/>
          <w:color w:val="2c2a28"/>
          <w:sz w:val="21"/>
          <w:szCs w:val="21"/>
        </w:rPr>
        <w:t xml:space="preserve">Ticketsystem</w:t>
      </w:r>
      <w:r>
        <w:rPr>
          <w:color w:val="2c2a28"/>
          <w:sz w:val="21"/>
          <w:szCs w:val="21"/>
        </w:rPr>
        <w:t xml:space="preserve"> wird bald bekannt gegeben. Schon jetzt zum Reinhören: unser Lied </w:t>
      </w:r>
      <w:hyperlink w:history="1" r:id="rIddecl2oeyhk4m3fmbuq3pj">
        <w:r>
          <w:rPr>
            <w:color w:val="267997"/>
            <w:sz w:val="21"/>
            <w:szCs w:val="21"/>
            <w:u w:val="single"/>
          </w:rPr>
          <w:t xml:space="preserve">„Menschenlesen“ von Pils &amp; Kippe</w:t>
        </w:r>
      </w:hyperlink>
      <w:r>
        <w:rPr>
          <w:color w:val="2c2a28"/>
          <w:sz w:val="21"/>
          <w:szCs w:val="21"/>
        </w:rPr>
        <w:t xml:space="preserve">.</w:t>
      </w:r>
    </w:p>
    <w:p>
      <w:pPr>
        <w:spacing w:after="60"/>
      </w:pP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267997" w:sz="24"/>
              <w:bottom w:val="none"/>
              <w:right w:val="none"/>
            </w:tcBorders>
            <w:shd w:fill="eef5f8"/>
            <w:tcMar>
              <w:top w:type="dxa" w:w="150"/>
              <w:left w:type="dxa" w:w="200"/>
              <w:bottom w:type="dxa" w:w="150"/>
              <w:right w:type="dxa" w:w="200"/>
            </w:tcMar>
          </w:tcPr>
          <w:p>
            <w:pPr>
              <w:spacing w:after="70"/>
            </w:pPr>
            <w:r>
              <w:rPr>
                <w:b/>
                <w:bCs/>
                <w:color w:val="267997"/>
                <w:sz w:val="22"/>
                <w:szCs w:val="22"/>
              </w:rPr>
              <w:t xml:space="preserve">Ihre Kommune bei uns live?</w:t>
            </w:r>
          </w:p>
          <w:p>
            <w:pPr>
              <w:spacing w:line="264"/>
            </w:pPr>
            <w:r>
              <w:rPr>
                <w:color w:val="2c2a28"/>
                <w:sz w:val="21"/>
                <w:szCs w:val="21"/>
              </w:rPr>
              <w:t xml:space="preserve">Motivieren Sie Ihre eigene Kommune, Ihre Vertretungen sowie viele Vereine, Selbsthilfegruppen und Unternehmen, ihr Gruppenfoto mit dem Cor.-Zeichen einzusenden. Am Aktionstag blenden wir die Fotos mit Namen im Stream ein – das sorgt für Wissenstransfer und Gemeinschaft.</w:t>
            </w:r>
          </w:p>
        </w:tc>
      </w:tr>
    </w:tbl>
    <w:p>
      <w:pPr>
        <w:keepNext/>
        <w:spacing w:after="120" w:before="300"/>
      </w:pPr>
      <w:r>
        <w:rPr>
          <w:b/>
          <w:bCs/>
          <w:color w:val="267997"/>
          <w:sz w:val="25"/>
          <w:szCs w:val="25"/>
        </w:rPr>
        <w:t xml:space="preserve">In diesem Paket erhalten Sie</w:t>
      </w:r>
    </w:p>
    <w:p>
      <w:pPr>
        <w:pStyle w:val="ListParagraph"/>
        <w:numPr>
          <w:ilvl w:val="0"/>
          <w:numId w:val="2"/>
        </w:numPr>
        <w:spacing w:after="90" w:line="258"/>
      </w:pPr>
      <w:r>
        <w:rPr>
          <w:b/>
          <w:bCs/>
          <w:color w:val="2c2a28"/>
          <w:sz w:val="21"/>
          <w:szCs w:val="21"/>
        </w:rPr>
        <w:t xml:space="preserve">Canva-Vorlagen zum Bearbeiten</w:t>
      </w:r>
      <w:r>
        <w:rPr>
          <w:color w:val="2c2a28"/>
          <w:sz w:val="21"/>
          <w:szCs w:val="21"/>
        </w:rPr>
        <w:t xml:space="preserve"> (auch als PDF) – für Ausweis, Plakate und weitere Materialien.</w:t>
      </w:r>
    </w:p>
    <w:p>
      <w:pPr>
        <w:pStyle w:val="ListParagraph"/>
        <w:numPr>
          <w:ilvl w:val="0"/>
          <w:numId w:val="2"/>
        </w:numPr>
        <w:spacing w:after="90" w:line="258"/>
      </w:pPr>
      <w:r>
        <w:rPr>
          <w:b/>
          <w:bCs/>
          <w:color w:val="2c2a28"/>
          <w:sz w:val="21"/>
          <w:szCs w:val="21"/>
        </w:rPr>
        <w:t xml:space="preserve">Maßnahmen</w:t>
      </w:r>
      <w:r>
        <w:rPr>
          <w:color w:val="2c2a28"/>
          <w:sz w:val="21"/>
          <w:szCs w:val="21"/>
        </w:rPr>
        <w:t xml:space="preserve">: den Ausweis, den Flyer „Nicht sichtbare Behinderungen“, die Distanz- und Sitzplatzkarte, Lanyard und Logo für Buttons – sowie eine Ausstellung zum Selbst-Produzieren.</w:t>
      </w:r>
    </w:p>
    <w:p>
      <w:pPr>
        <w:pStyle w:val="ListParagraph"/>
        <w:numPr>
          <w:ilvl w:val="0"/>
          <w:numId w:val="2"/>
        </w:numPr>
        <w:spacing w:after="90" w:line="258"/>
      </w:pPr>
      <w:r>
        <w:rPr>
          <w:b/>
          <w:bCs/>
          <w:color w:val="2c2a28"/>
          <w:sz w:val="21"/>
          <w:szCs w:val="21"/>
        </w:rPr>
        <w:t xml:space="preserve">Pressetexte</w:t>
      </w:r>
      <w:r>
        <w:rPr>
          <w:color w:val="2c2a28"/>
          <w:sz w:val="21"/>
          <w:szCs w:val="21"/>
        </w:rPr>
        <w:t xml:space="preserve">: vorab und ausführlich.</w:t>
      </w:r>
    </w:p>
    <w:p>
      <w:pPr>
        <w:pStyle w:val="ListParagraph"/>
        <w:numPr>
          <w:ilvl w:val="0"/>
          <w:numId w:val="2"/>
        </w:numPr>
        <w:spacing w:after="90" w:line="258"/>
      </w:pPr>
      <w:r>
        <w:rPr>
          <w:b/>
          <w:bCs/>
          <w:color w:val="2c2a28"/>
          <w:sz w:val="21"/>
          <w:szCs w:val="21"/>
        </w:rPr>
        <w:t xml:space="preserve">Das Cor.-System</w:t>
      </w:r>
      <w:r>
        <w:rPr>
          <w:color w:val="2c2a28"/>
          <w:sz w:val="21"/>
          <w:szCs w:val="21"/>
        </w:rPr>
        <w:t xml:space="preserve">: eine Einführung „Was genau ist das Cor.-System?“ – zum Erklären und Weitergeben.</w:t>
      </w:r>
    </w:p>
    <w:p>
      <w:pPr>
        <w:pStyle w:val="ListParagraph"/>
        <w:numPr>
          <w:ilvl w:val="0"/>
          <w:numId w:val="2"/>
        </w:numPr>
        <w:spacing w:after="90" w:line="258"/>
      </w:pPr>
      <w:r>
        <w:rPr>
          <w:color w:val="2c2a28"/>
          <w:sz w:val="21"/>
          <w:szCs w:val="21"/>
        </w:rPr>
        <w:t xml:space="preserve">Dazu: das LIORA.Live-Plakat, die Foto-Einwilligung, die Logos, das Cor.-Motiv zum Teilen und die Übersicht „Alle Vorlagen und Links“ (PDF).</w:t>
      </w:r>
    </w:p>
    <w:tbl>
      <w:tblPr>
        <w:tblW w:type="dxa" w:w="9700"/>
        <w:tblBorders>
          <w:top w:val="none"/>
          <w:left w:val="none"/>
          <w:bottom w:val="none"/>
          <w:right w:val="none"/>
          <w:insideH w:val="none"/>
          <w:insideV w:val="none"/>
        </w:tblBorders>
      </w:tblPr>
      <w:tblGrid>
        <w:gridCol w:w="9700"/>
      </w:tblGrid>
      <w:tr>
        <w:tc>
          <w:tcPr>
            <w:tcW w:type="dxa" w:w="9700"/>
            <w:tcBorders>
              <w:top w:val="none"/>
              <w:left w:val="single" w:color="772327" w:sz="24"/>
              <w:bottom w:val="none"/>
              <w:right w:val="none"/>
            </w:tcBorders>
            <w:shd w:fill="f7eeee"/>
            <w:tcMar>
              <w:top w:type="dxa" w:w="140"/>
              <w:left w:type="dxa" w:w="200"/>
              <w:bottom w:type="dxa" w:w="140"/>
              <w:right w:type="dxa" w:w="200"/>
            </w:tcMar>
          </w:tcPr>
          <w:p>
            <w:pPr>
              <w:spacing w:line="264"/>
            </w:pPr>
            <w:r>
              <w:rPr>
                <w:b/>
                <w:bCs/>
                <w:color w:val="17385c"/>
                <w:sz w:val="21"/>
                <w:szCs w:val="21"/>
              </w:rPr>
              <w:t xml:space="preserve">Übrigens: </w:t>
            </w:r>
            <w:r>
              <w:rPr>
                <w:color w:val="2c2a28"/>
                <w:sz w:val="21"/>
                <w:szCs w:val="21"/>
              </w:rPr>
              <w:t xml:space="preserve">Die AG Neurodivergenz &amp; Neurologische Vielfalt (NNV) im NaSPro erstellt gerade eine Broschüre, die bald erscheint. Bei Interesse können Sie schon jetzt hineinschauen: </w:t>
            </w:r>
            <w:hyperlink w:history="1" r:id="rId_2iyflgpihc9aayxfqdtv">
              <w:r>
                <w:rPr>
                  <w:color w:val="267997"/>
                  <w:sz w:val="21"/>
                  <w:szCs w:val="21"/>
                  <w:u w:val="single"/>
                </w:rPr>
                <w:t xml:space="preserve">Broschüre (Vorschau)</w:t>
              </w:r>
            </w:hyperlink>
          </w:p>
        </w:tc>
      </w:tr>
    </w:tbl>
    <w:p>
      <w:pPr>
        <w:spacing w:after="120"/>
      </w:pPr>
    </w:p>
    <w:p>
      <w:pPr>
        <w:spacing w:after="150" w:before="40"/>
      </w:pPr>
      <w:r>
        <w:rPr>
          <w:color w:val="2c2a28"/>
          <w:sz w:val="21"/>
          <w:szCs w:val="21"/>
        </w:rPr>
        <w:t xml:space="preserve">Vielen Dank, dass Sie Teil dieses Projekts sind. Wir freuen uns von Herzen, wenn Sie dabei sind – jeder Beitrag macht diesen Tag ein Stück sichtbarer. Bei Fragen sind wir jederzeit für Sie da.</w:t>
      </w:r>
    </w:p>
    <w:p>
      <w:pPr>
        <w:spacing w:after="16"/>
      </w:pPr>
      <w:r>
        <w:rPr>
          <w:color w:val="2c2a28"/>
          <w:sz w:val="21"/>
          <w:szCs w:val="21"/>
        </w:rPr>
        <w:t xml:space="preserve">Herzliche Grüße</w:t>
      </w:r>
    </w:p>
    <w:p>
      <w:pPr>
        <w:spacing w:after="0"/>
      </w:pPr>
      <w:r>
        <w:rPr>
          <w:b/>
          <w:bCs/>
          <w:color w:val="17385c"/>
          <w:sz w:val="20"/>
          <w:szCs w:val="20"/>
        </w:rPr>
        <w:t xml:space="preserve">Initiative Stille Stunde · gemeinsam zusammen e. V.</w:t>
      </w:r>
    </w:p>
    <w:p>
      <w:pPr>
        <w:spacing w:after="170" w:line="264"/>
      </w:pPr>
      <w:r>
        <w:rPr>
          <w:color w:val="5f5a57"/>
          <w:sz w:val="18"/>
          <w:szCs w:val="18"/>
        </w:rPr>
        <w:t xml:space="preserve">post@stille-stunde.com · stille-stunde.com · #SayCor</w:t>
      </w:r>
    </w:p>
    <w:sectPr>
      <w:headerReference w:type="default" r:id="rId7"/>
      <w:headerReference w:type="first" r:id="rId8"/>
      <w:pgSz w:w="11906" w:h="16838" w:orient="portrait"/>
      <w:pgMar w:top="1000" w:right="1100" w:bottom="900" w:left="1100" w:header="220" w:footer="708"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anchor distT="0" distB="0" distL="0" distR="0" simplePos="0" allowOverlap="1" behindDoc="0" locked="0" layoutInCell="1" relativeHeight="190500">
          <wp:simplePos x="0" y="0"/>
          <wp:positionH relativeFrom="page">
            <wp:posOffset>0</wp:posOffset>
          </wp:positionH>
          <wp:positionV relativeFrom="page">
            <wp:posOffset>0</wp:posOffset>
          </wp:positionV>
          <wp:extent cx="7562850" cy="190500"/>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905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5xwtbecy_fkq-cfrvlggd" Type="http://schemas.openxmlformats.org/officeDocument/2006/relationships/hyperlink" Target="https://drive.google.com/drive/folders/1PdmMcrmr3IT96VOcbADXWIi69iWCVAM0?usp=sharing" TargetMode="External"/><Relationship Id="rId-bnhhl6txznp90cmr65om" Type="http://schemas.openxmlformats.org/officeDocument/2006/relationships/hyperlink" Target="https://canva.link/ct7jix6nx2vdlad" TargetMode="External"/><Relationship Id="rIdmwb_n3oobp-exngz94u7r" Type="http://schemas.openxmlformats.org/officeDocument/2006/relationships/hyperlink" Target="https://www.stille-stunde.com/uebrigens/20-oktober-saycor-das-community-konzept/" TargetMode="External"/><Relationship Id="rId-clisd2xsjxlp4ifqdnvi" Type="http://schemas.openxmlformats.org/officeDocument/2006/relationships/hyperlink" Target="https://www.stille-stunde.com/uebrigens/20-oktober-saycor-das-community-konzept/" TargetMode="External"/><Relationship Id="rIdzdubi3cpo29ogeqwr2joh" Type="http://schemas.openxmlformats.org/officeDocument/2006/relationships/hyperlink" Target="https://youtube.com/live/CipV_2KkFl4" TargetMode="External"/><Relationship Id="rId1_8yjxe8yidfyahu2uee2" Type="http://schemas.openxmlformats.org/officeDocument/2006/relationships/hyperlink" Target="https://www.stille-stunde.com/wp-content/uploads/2026/08/LIORA-Live-Aushang-Casting.pdf" TargetMode="External"/><Relationship Id="rIddecl2oeyhk4m3fmbuq3pj" Type="http://schemas.openxmlformats.org/officeDocument/2006/relationships/hyperlink" Target="https://www.youtube.com/watch?v=rEU4tjyHi6U" TargetMode="External"/><Relationship Id="rId_2iyflgpihc9aayxfqdtv" Type="http://schemas.openxmlformats.org/officeDocument/2006/relationships/hyperlink" Target="https://canva.link/ztmnmdbdof6gvsx" TargetMode="External"/><Relationship Id="rId9" Type="http://schemas.openxmlformats.org/officeDocument/2006/relationships/image" Target="media/611f201f1870a655562eba4700e89c0ba9fe30ae.png"/><Relationship Id="rId18" Type="http://schemas.openxmlformats.org/officeDocument/2006/relationships/fontTable" Target="fontTable.xml"/></Relationships>
</file>

<file path=word/_rels/header2.xml.rels><?xml version='1.0' encoding='UTF-8' standalone='yes'?>
<Relationships xmlns="http://schemas.openxmlformats.org/package/2006/relationships"><Relationship Id="rId0" Type="http://schemas.openxmlformats.org/officeDocument/2006/relationships/image" Target="media/5a8f4761b1f5cd969068936ade8c08b77fc4bfd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2026-08-28T15:44:40.298Z</dcterms:created>
  <dcterms:modified xsi:type="dcterms:W3CDTF">2026-08-28T15:44:40.298Z</dcterms:modified>
</cp:coreProperties>
</file>

<file path=docProps/custom.xml><?xml version="1.0" encoding="utf-8"?>
<Properties xmlns="http://schemas.openxmlformats.org/officeDocument/2006/custom-properties" xmlns:vt="http://schemas.openxmlformats.org/officeDocument/2006/docPropsVTypes"/>
</file>