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0" w:type="dxa"/>
        <w:tblCellMar>
          <w:left w:w="10" w:type="dxa"/>
          <w:right w:w="10" w:type="dxa"/>
        </w:tblCellMar>
        <w:tblLook w:val="0000" w:firstRow="0" w:lastRow="0" w:firstColumn="0" w:lastColumn="0" w:noHBand="0" w:noVBand="0"/>
      </w:tblPr>
      <w:tblGrid>
        <w:gridCol w:w="1000"/>
        <w:gridCol w:w="8700"/>
      </w:tblGrid>
      <w:tr w:rsidR="00EF38F2" w14:paraId="6B6F6EAC" w14:textId="77777777">
        <w:tblPrEx>
          <w:tblCellMar>
            <w:top w:w="0" w:type="dxa"/>
            <w:bottom w:w="0" w:type="dxa"/>
          </w:tblCellMar>
        </w:tblPrEx>
        <w:tc>
          <w:tcPr>
            <w:tcW w:w="1000" w:type="dxa"/>
            <w:vAlign w:val="center"/>
          </w:tcPr>
          <w:p w14:paraId="253B3D72" w14:textId="7FF3EC9E" w:rsidR="00EF38F2" w:rsidRDefault="00EF38F2"/>
        </w:tc>
        <w:tc>
          <w:tcPr>
            <w:tcW w:w="8700" w:type="dxa"/>
            <w:tcMar>
              <w:left w:w="150" w:type="dxa"/>
            </w:tcMar>
            <w:vAlign w:val="center"/>
          </w:tcPr>
          <w:p w14:paraId="6CB0FD0D" w14:textId="77777777" w:rsidR="00EF38F2" w:rsidRDefault="00000000">
            <w:pPr>
              <w:spacing w:after="20"/>
            </w:pPr>
            <w:r>
              <w:rPr>
                <w:b/>
                <w:bCs/>
                <w:color w:val="267997"/>
                <w:sz w:val="18"/>
                <w:szCs w:val="18"/>
              </w:rPr>
              <w:t>PRESSEMITTEILUNG · Tag der nicht sichtbaren Behinderungen · 20. Oktober 2026</w:t>
            </w:r>
          </w:p>
          <w:p w14:paraId="5CE8D63B" w14:textId="77777777" w:rsidR="00EF38F2" w:rsidRDefault="00000000">
            <w:r>
              <w:rPr>
                <w:color w:val="5F5A57"/>
                <w:sz w:val="18"/>
                <w:szCs w:val="18"/>
              </w:rPr>
              <w:t>[Ort], [Datum]</w:t>
            </w:r>
          </w:p>
        </w:tc>
      </w:tr>
    </w:tbl>
    <w:p w14:paraId="2CF5A323" w14:textId="77777777" w:rsidR="00EF38F2" w:rsidRDefault="00EF38F2">
      <w:pPr>
        <w:pBdr>
          <w:bottom w:val="single" w:sz="12" w:space="6" w:color="17385C"/>
        </w:pBdr>
        <w:spacing w:before="60"/>
      </w:pPr>
    </w:p>
    <w:p w14:paraId="668049B5" w14:textId="77777777" w:rsidR="00EF38F2" w:rsidRDefault="00000000">
      <w:pPr>
        <w:spacing w:before="160" w:after="80"/>
      </w:pPr>
      <w:r>
        <w:rPr>
          <w:b/>
          <w:bCs/>
          <w:color w:val="17385C"/>
          <w:sz w:val="40"/>
          <w:szCs w:val="40"/>
        </w:rPr>
        <w:t>Drei von vier Behinderungen sieht man nicht – [Kommune] macht sie am 20. Oktober sichtbar</w:t>
      </w:r>
    </w:p>
    <w:p w14:paraId="62989658" w14:textId="76F39FB1" w:rsidR="00EF38F2" w:rsidRDefault="00000000">
      <w:pPr>
        <w:spacing w:after="100"/>
      </w:pPr>
      <w:r>
        <w:rPr>
          <w:color w:val="5F5A57"/>
          <w:sz w:val="24"/>
          <w:szCs w:val="24"/>
        </w:rPr>
        <w:t>Zum dritten Tag der nicht sichtbaren Behinderungen</w:t>
      </w:r>
      <w:r w:rsidR="0088595A">
        <w:rPr>
          <w:color w:val="5F5A57"/>
          <w:sz w:val="24"/>
          <w:szCs w:val="24"/>
        </w:rPr>
        <w:t>, am 20. Oktober</w:t>
      </w:r>
      <w:proofErr w:type="spellStart"/>
      <w:r w:rsidR="0088595A">
        <w:rPr>
          <w:color w:val="5F5A57"/>
          <w:sz w:val="24"/>
          <w:szCs w:val="24"/>
        </w:rPr>
      </w:r>
      <w:proofErr w:type="spellEnd"/>
      <w:r>
        <w:rPr>
          <w:color w:val="5F5A57"/>
          <w:sz w:val="24"/>
          <w:szCs w:val="24"/>
        </w:rPr>
        <w:t xml:space="preserve"> – mit dem </w:t>
      </w:r>
      <w:proofErr w:type="spellStart"/>
      <w:r>
        <w:rPr>
          <w:color w:val="5F5A57"/>
          <w:sz w:val="24"/>
          <w:szCs w:val="24"/>
        </w:rPr>
        <w:t>Cor</w:t>
      </w:r>
      <w:proofErr w:type="spellEnd"/>
      <w:r>
        <w:rPr>
          <w:color w:val="5F5A57"/>
          <w:sz w:val="24"/>
          <w:szCs w:val="24"/>
        </w:rPr>
        <w:t>.-System, einem frei nutzbaren Zeichen, und einem eigenen Aktionspaket für jede Gruppe vor Ort.</w:t>
      </w:r>
    </w:p>
    <w:p w14:paraId="72D5C4D8" w14:textId="77777777" w:rsidR="00EF38F2" w:rsidRDefault="00000000">
      <w:pPr>
        <w:keepNext/>
        <w:spacing w:before="280" w:after="90"/>
      </w:pPr>
      <w:r>
        <w:rPr>
          <w:b/>
          <w:bCs/>
          <w:color w:val="267997"/>
          <w:sz w:val="26"/>
          <w:szCs w:val="26"/>
        </w:rPr>
        <w:t>Worum es geht</w:t>
      </w:r>
    </w:p>
    <w:p w14:paraId="0DED80C4" w14:textId="77777777" w:rsidR="00EF38F2" w:rsidRDefault="00000000">
      <w:pPr>
        <w:spacing w:after="130"/>
      </w:pPr>
      <w:r>
        <w:rPr>
          <w:color w:val="2C2A28"/>
          <w:sz w:val="22"/>
          <w:szCs w:val="22"/>
        </w:rPr>
        <w:t>Rund drei von vier Menschen mit einer Behinderung tragen eine, die man von außen nicht erkennt – in Deutschland mehrere Millionen. Am 20. Oktober rückt der bundesweite Tag der nicht sichtbaren Behinderungen sie ins Licht. [Die Stadt / Gemeinde XY] beteiligt sich und macht gemeinsam mit Vereinen, Schulen, Kitas, Geschäften und Selbsthilfegruppen sichtbar, was sonst übersehen wird.</w:t>
      </w:r>
    </w:p>
    <w:p w14:paraId="6B71A110" w14:textId="77777777" w:rsidR="00EF38F2" w:rsidRDefault="00000000">
      <w:pPr>
        <w:spacing w:after="130"/>
      </w:pPr>
      <w:r>
        <w:rPr>
          <w:color w:val="2C2A28"/>
          <w:sz w:val="22"/>
          <w:szCs w:val="22"/>
        </w:rPr>
        <w:t>Gemeint sind sehr unterschiedliche Menschen: neurodivergente Profile wie Autismus oder ADHS, psychische Erkrankungen wie Depression, Essstörungen, Schizophrenie, neurologische und chronische Erkrankungen wie Epilepsie, Migräne, Endometriose oder Long COVID sowie Sinnesbehinderungen. Die meisten dieser Behinderungen entstehen erst im Laufe des Lebens.</w:t>
      </w:r>
    </w:p>
    <w:p w14:paraId="013CD60E" w14:textId="77777777" w:rsidR="00EF38F2" w:rsidRDefault="00000000">
      <w:pPr>
        <w:keepNext/>
        <w:spacing w:before="280" w:after="90"/>
      </w:pPr>
      <w:r>
        <w:rPr>
          <w:b/>
          <w:bCs/>
          <w:color w:val="267997"/>
          <w:sz w:val="26"/>
          <w:szCs w:val="26"/>
        </w:rPr>
        <w:t>Unsichtbare Barrieren</w:t>
      </w:r>
    </w:p>
    <w:p w14:paraId="15EC9880" w14:textId="58DC7D66" w:rsidR="00EF38F2" w:rsidRDefault="00000000">
      <w:pPr>
        <w:spacing w:after="130"/>
      </w:pPr>
      <w:r>
        <w:rPr>
          <w:color w:val="2C2A28"/>
          <w:sz w:val="22"/>
          <w:szCs w:val="22"/>
        </w:rPr>
        <w:t xml:space="preserve">Menschen mit nicht sichtbaren Behinderungen – wer ist das überhaupt? Zunächst alle, deren Behinderung man von außen nicht sieht. Aber auch viele, die ein sichtbares Merkmal oder ein Hilfsmittel wie einen Rollstuhl haben, tragen zusätzlich eine unsichtbare Belastung. Denn Menschen mit nicht sichtbaren Behinderungen tragen oft eine anhaltende Belastung – durch Schmerz, Reize, geistige, also kognitive Herausforderungen oder Stress. </w:t>
      </w:r>
      <w:r w:rsidR="0088595A">
        <w:rPr>
          <w:color w:val="2C2A28"/>
          <w:sz w:val="22"/>
          <w:szCs w:val="22"/>
        </w:rPr>
        <w:t xml:space="preserve">Dies haben alle vulnerablen Gruppen gemein – ob Autismus, Schlaganfall oder Endometriose, ob Menschen mit erhöhter Suizidalität – etwa queere Menschen, Führungskräfte oder Lehrkräfte, bei denen Dauerbelastung oft unsichtbar bleibt. </w:t>
      </w:r>
      <w:r w:rsidR="0088595A">
        <w:rPr>
          <w:color w:val="2C2A28"/>
          <w:sz w:val="22"/>
          <w:szCs w:val="22"/>
        </w:rPr>
        <w:br/>
      </w:r>
      <w:r w:rsidR="0088595A">
        <w:rPr>
          <w:color w:val="2C2A28"/>
          <w:sz w:val="22"/>
          <w:szCs w:val="22"/>
        </w:rPr>
        <w:br/>
      </w:r>
      <w:r w:rsidR="0088595A">
        <w:rPr>
          <w:color w:val="2C2A28"/>
          <w:sz w:val="22"/>
          <w:szCs w:val="22"/>
        </w:rPr>
        <w:br/>
        <w:t>Aus dieser Belastung</w:t>
      </w:r>
      <w:r>
        <w:rPr>
          <w:color w:val="2C2A28"/>
          <w:sz w:val="22"/>
          <w:szCs w:val="22"/>
        </w:rPr>
        <w:t xml:space="preserve"> entstehen Barrieren, die niemand sieht:</w:t>
      </w:r>
    </w:p>
    <w:p w14:paraId="30A32FEF" w14:textId="77777777" w:rsidR="00EF38F2" w:rsidRDefault="00000000">
      <w:pPr>
        <w:spacing w:after="130"/>
      </w:pPr>
      <w:r>
        <w:rPr>
          <w:b/>
          <w:bCs/>
          <w:color w:val="2C2A28"/>
          <w:sz w:val="22"/>
          <w:szCs w:val="22"/>
        </w:rPr>
        <w:t>sensorisch</w:t>
      </w:r>
      <w:r>
        <w:rPr>
          <w:color w:val="2C2A28"/>
          <w:sz w:val="22"/>
          <w:szCs w:val="22"/>
        </w:rPr>
        <w:t xml:space="preserve"> (Lärm, Licht, Gerüche), </w:t>
      </w:r>
      <w:r>
        <w:rPr>
          <w:b/>
          <w:bCs/>
          <w:color w:val="2C2A28"/>
          <w:sz w:val="22"/>
          <w:szCs w:val="22"/>
        </w:rPr>
        <w:t>chemisch</w:t>
      </w:r>
      <w:r>
        <w:rPr>
          <w:color w:val="2C2A28"/>
          <w:sz w:val="22"/>
          <w:szCs w:val="22"/>
        </w:rPr>
        <w:t xml:space="preserve"> (Duft, Rauch, Reinigungsmittel), </w:t>
      </w:r>
      <w:r>
        <w:rPr>
          <w:b/>
          <w:bCs/>
          <w:color w:val="2C2A28"/>
          <w:sz w:val="22"/>
          <w:szCs w:val="22"/>
        </w:rPr>
        <w:t>kommunikativ</w:t>
      </w:r>
      <w:r>
        <w:rPr>
          <w:color w:val="2C2A28"/>
          <w:sz w:val="22"/>
          <w:szCs w:val="22"/>
        </w:rPr>
        <w:t xml:space="preserve"> (Tempo, komplexe Sprache, keine Rückfragen) und sozial, wie erwartetes Handeln</w:t>
      </w:r>
      <w:r>
        <w:rPr>
          <w:b/>
          <w:bCs/>
          <w:color w:val="2C2A28"/>
          <w:sz w:val="22"/>
          <w:szCs w:val="22"/>
        </w:rPr>
      </w:r>
      <w:r>
        <w:rPr>
          <w:color w:val="2C2A28"/>
          <w:sz w:val="22"/>
          <w:szCs w:val="22"/>
        </w:rPr>
        <w:t xml:space="preserve">, Menschenmengen, Mimik – oder </w:t>
      </w:r>
      <w:r>
        <w:rPr>
          <w:b/>
          <w:bCs/>
          <w:color w:val="2C2A28"/>
          <w:sz w:val="22"/>
          <w:szCs w:val="22"/>
        </w:rPr>
        <w:t>Abläufe</w:t>
      </w:r>
      <w:r>
        <w:rPr>
          <w:color w:val="2C2A28"/>
          <w:sz w:val="22"/>
          <w:szCs w:val="22"/>
        </w:rPr>
        <w:t xml:space="preserve"> (Zeitdruck, Warteschlangen ohne Sitzplatz, fehlende Rückzugsorte).</w:t>
      </w:r>
    </w:p>
    <w:p w14:paraId="7F72A319" w14:textId="77777777" w:rsidR="00EF38F2" w:rsidRDefault="00000000">
      <w:pPr>
        <w:spacing w:after="130"/>
      </w:pPr>
      <w:r>
        <w:rPr>
          <w:color w:val="2C2A28"/>
          <w:sz w:val="22"/>
          <w:szCs w:val="22"/>
        </w:rPr>
        <w:t>Teilhabe scheitert selten an einem einzelnen Reiz – sondern an ihrer Summe. Das macht es für die Außenwelt weniger verständlich, und oft können Betroffene auch nicht genau sagen, was ihnen schwerfällt. Es ist die Kumulation, also die Vielzahl an Barrieren, die an der Teilhabe hindert. So entscheiden sich Millionen von Menschen mit Krebs, chronischem Rheuma, Autismus oder Schmerzen, z. B. einer Veranstaltung fernzubleiben – weil sie nicht wissen, ob genügend Stühle da sind, ob es einen Rückzugsort gibt oder ob sie vielleicht wieder Kopfschmerzen bekommen, häufig durch eine chemische Sensibilität, von der man gar nichts weiß.</w:t>
      </w:r>
    </w:p>
    <w:p w14:paraId="6BE7F246" w14:textId="77777777" w:rsidR="00EF38F2" w:rsidRDefault="00000000">
      <w:pPr>
        <w:keepNext/>
        <w:spacing w:before="280" w:after="90"/>
      </w:pPr>
      <w:r>
        <w:rPr>
          <w:b/>
          <w:bCs/>
          <w:color w:val="267997"/>
          <w:sz w:val="26"/>
          <w:szCs w:val="26"/>
        </w:rPr>
        <w:t>Zahlen aus Deutschland</w:t>
      </w:r>
    </w:p>
    <w:p w14:paraId="3C465726" w14:textId="77777777" w:rsidR="00EF38F2" w:rsidRDefault="00000000">
      <w:pPr>
        <w:spacing w:after="130"/>
      </w:pPr>
      <w:r>
        <w:rPr>
          <w:color w:val="2C2A28"/>
          <w:sz w:val="22"/>
          <w:szCs w:val="22"/>
        </w:rPr>
        <w:t>Nicht sichtbare Behinderungen sind kein Randthema – sie betreffen Millionen, und die Zahlen steigen. Ausgerechnet hier wird gespart. Einige belegte Daten, mit Quellen zum Nachlesen:</w:t>
      </w:r>
    </w:p>
    <w:p w14:paraId="718A200C" w14:textId="77777777" w:rsidR="00EF38F2" w:rsidRDefault="00000000">
      <w:pPr>
        <w:spacing w:after="120"/>
      </w:pPr>
      <w:proofErr w:type="gramStart"/>
      <w:r>
        <w:rPr>
          <w:b/>
          <w:bCs/>
          <w:color w:val="267997"/>
          <w:sz w:val="24"/>
          <w:szCs w:val="24"/>
        </w:rPr>
        <w:t xml:space="preserve">342  </w:t>
      </w:r>
      <w:r>
        <w:rPr>
          <w:color w:val="2C2A28"/>
          <w:sz w:val="22"/>
          <w:szCs w:val="22"/>
        </w:rPr>
        <w:t>Fehltage</w:t>
      </w:r>
      <w:proofErr w:type="gramEnd"/>
      <w:r>
        <w:rPr>
          <w:color w:val="2C2A28"/>
          <w:sz w:val="22"/>
          <w:szCs w:val="22"/>
        </w:rPr>
        <w:t xml:space="preserve"> je 100 Versicherte durch psychische Erkrankungen (2024) – 17,4 % des gesamten Krankenstands, Tendenz steigend.  </w:t>
      </w:r>
      <w:r>
        <w:rPr>
          <w:color w:val="5F5A57"/>
          <w:sz w:val="18"/>
          <w:szCs w:val="18"/>
        </w:rPr>
        <w:t xml:space="preserve">Quelle: </w:t>
      </w:r>
      <w:hyperlink r:id="rId5" w:history="1">
        <w:r>
          <w:rPr>
            <w:b/>
            <w:bCs/>
            <w:color w:val="267997"/>
            <w:sz w:val="19"/>
            <w:szCs w:val="19"/>
            <w:u w:val="single"/>
          </w:rPr>
          <w:t>DAK-</w:t>
        </w:r>
        <w:proofErr w:type="spellStart"/>
        <w:r>
          <w:rPr>
            <w:b/>
            <w:bCs/>
            <w:color w:val="267997"/>
            <w:sz w:val="19"/>
            <w:szCs w:val="19"/>
            <w:u w:val="single"/>
          </w:rPr>
          <w:t>Psychreport</w:t>
        </w:r>
        <w:proofErr w:type="spellEnd"/>
        <w:r>
          <w:rPr>
            <w:b/>
            <w:bCs/>
            <w:color w:val="267997"/>
            <w:sz w:val="19"/>
            <w:szCs w:val="19"/>
            <w:u w:val="single"/>
          </w:rPr>
          <w:t xml:space="preserve"> 2025</w:t>
        </w:r>
      </w:hyperlink>
    </w:p>
    <w:p w14:paraId="5AFC64FE" w14:textId="77777777" w:rsidR="00EF38F2" w:rsidRDefault="00000000">
      <w:pPr>
        <w:spacing w:after="120"/>
      </w:pPr>
      <w:r>
        <w:rPr>
          <w:b/>
          <w:bCs/>
          <w:color w:val="267997"/>
          <w:sz w:val="24"/>
          <w:szCs w:val="24"/>
        </w:rPr>
        <w:t xml:space="preserve">586 / </w:t>
      </w:r>
      <w:proofErr w:type="gramStart"/>
      <w:r>
        <w:rPr>
          <w:b/>
          <w:bCs/>
          <w:color w:val="267997"/>
          <w:sz w:val="24"/>
          <w:szCs w:val="24"/>
        </w:rPr>
        <w:t xml:space="preserve">573  </w:t>
      </w:r>
      <w:r>
        <w:rPr>
          <w:color w:val="2C2A28"/>
          <w:sz w:val="22"/>
          <w:szCs w:val="22"/>
        </w:rPr>
        <w:t>psychisch</w:t>
      </w:r>
      <w:proofErr w:type="gramEnd"/>
      <w:r>
        <w:rPr>
          <w:color w:val="2C2A28"/>
          <w:sz w:val="22"/>
          <w:szCs w:val="22"/>
        </w:rPr>
        <w:t xml:space="preserve"> bedingte Fehltage je 100 Versicherte in Kinderbetreuung bzw. Altenpflege – bis zu 71 % über dem Schnitt; Dauerbelastung trifft Pflegende besonders.  </w:t>
      </w:r>
      <w:r>
        <w:rPr>
          <w:color w:val="5F5A57"/>
          <w:sz w:val="18"/>
          <w:szCs w:val="18"/>
        </w:rPr>
        <w:t xml:space="preserve">Quelle: </w:t>
      </w:r>
      <w:hyperlink r:id="rId6" w:history="1">
        <w:r>
          <w:rPr>
            <w:b/>
            <w:bCs/>
            <w:color w:val="267997"/>
            <w:sz w:val="19"/>
            <w:szCs w:val="19"/>
            <w:u w:val="single"/>
          </w:rPr>
          <w:t>DAK-</w:t>
        </w:r>
        <w:proofErr w:type="spellStart"/>
        <w:r>
          <w:rPr>
            <w:b/>
            <w:bCs/>
            <w:color w:val="267997"/>
            <w:sz w:val="19"/>
            <w:szCs w:val="19"/>
            <w:u w:val="single"/>
          </w:rPr>
          <w:t>Psychreport</w:t>
        </w:r>
        <w:proofErr w:type="spellEnd"/>
        <w:r>
          <w:rPr>
            <w:b/>
            <w:bCs/>
            <w:color w:val="267997"/>
            <w:sz w:val="19"/>
            <w:szCs w:val="19"/>
            <w:u w:val="single"/>
          </w:rPr>
          <w:t xml:space="preserve"> 2025</w:t>
        </w:r>
      </w:hyperlink>
    </w:p>
    <w:p w14:paraId="1FBB4F0C" w14:textId="77777777" w:rsidR="00EF38F2" w:rsidRDefault="00000000">
      <w:pPr>
        <w:spacing w:after="120"/>
      </w:pPr>
      <w:r>
        <w:rPr>
          <w:b/>
          <w:bCs/>
          <w:color w:val="267997"/>
          <w:sz w:val="24"/>
          <w:szCs w:val="24"/>
        </w:rPr>
        <w:lastRenderedPageBreak/>
        <w:t xml:space="preserve">≈ </w:t>
      </w:r>
      <w:proofErr w:type="gramStart"/>
      <w:r>
        <w:rPr>
          <w:b/>
          <w:bCs/>
          <w:color w:val="267997"/>
          <w:sz w:val="24"/>
          <w:szCs w:val="24"/>
        </w:rPr>
        <w:t xml:space="preserve">650.000  </w:t>
      </w:r>
      <w:r>
        <w:rPr>
          <w:color w:val="2C2A28"/>
          <w:sz w:val="22"/>
          <w:szCs w:val="22"/>
        </w:rPr>
        <w:t>Menschen</w:t>
      </w:r>
      <w:proofErr w:type="gramEnd"/>
      <w:r>
        <w:rPr>
          <w:color w:val="2C2A28"/>
          <w:sz w:val="22"/>
          <w:szCs w:val="22"/>
        </w:rPr>
        <w:t xml:space="preserve"> leben in Deutschland mit ME/CFS (Dez. 2024); zusammen mit Long COVID über 1,5 Millionen.  </w:t>
      </w:r>
      <w:r>
        <w:rPr>
          <w:color w:val="5F5A57"/>
          <w:sz w:val="18"/>
          <w:szCs w:val="18"/>
        </w:rPr>
        <w:t xml:space="preserve">Quelle: </w:t>
      </w:r>
      <w:hyperlink r:id="rId7" w:history="1">
        <w:r>
          <w:rPr>
            <w:b/>
            <w:bCs/>
            <w:color w:val="267997"/>
            <w:sz w:val="19"/>
            <w:szCs w:val="19"/>
            <w:u w:val="single"/>
          </w:rPr>
          <w:t xml:space="preserve">ME/CFS Research </w:t>
        </w:r>
        <w:proofErr w:type="spellStart"/>
        <w:r>
          <w:rPr>
            <w:b/>
            <w:bCs/>
            <w:color w:val="267997"/>
            <w:sz w:val="19"/>
            <w:szCs w:val="19"/>
            <w:u w:val="single"/>
          </w:rPr>
          <w:t>Foundation</w:t>
        </w:r>
        <w:proofErr w:type="spellEnd"/>
        <w:r>
          <w:rPr>
            <w:b/>
            <w:bCs/>
            <w:color w:val="267997"/>
            <w:sz w:val="19"/>
            <w:szCs w:val="19"/>
            <w:u w:val="single"/>
          </w:rPr>
          <w:t xml:space="preserve"> 2025</w:t>
        </w:r>
      </w:hyperlink>
    </w:p>
    <w:p w14:paraId="6FD452FA" w14:textId="77777777" w:rsidR="00EF38F2" w:rsidRDefault="00000000">
      <w:pPr>
        <w:spacing w:after="120"/>
      </w:pPr>
      <w:r>
        <w:rPr>
          <w:b/>
          <w:bCs/>
          <w:color w:val="267997"/>
          <w:sz w:val="24"/>
          <w:szCs w:val="24"/>
        </w:rPr>
        <w:t xml:space="preserve">63 Mrd. </w:t>
      </w:r>
      <w:proofErr w:type="gramStart"/>
      <w:r>
        <w:rPr>
          <w:b/>
          <w:bCs/>
          <w:color w:val="267997"/>
          <w:sz w:val="24"/>
          <w:szCs w:val="24"/>
        </w:rPr>
        <w:t xml:space="preserve">€  </w:t>
      </w:r>
      <w:r>
        <w:rPr>
          <w:color w:val="2C2A28"/>
          <w:sz w:val="22"/>
          <w:szCs w:val="22"/>
        </w:rPr>
        <w:t>jährliche</w:t>
      </w:r>
      <w:proofErr w:type="gramEnd"/>
      <w:r>
        <w:rPr>
          <w:color w:val="2C2A28"/>
          <w:sz w:val="22"/>
          <w:szCs w:val="22"/>
        </w:rPr>
        <w:t xml:space="preserve"> gesellschaftliche Kosten von Long COVID und ME/CFS (2024) – </w:t>
      </w:r>
      <w:proofErr w:type="spellStart"/>
      <w:r>
        <w:rPr>
          <w:color w:val="2C2A28"/>
          <w:sz w:val="22"/>
          <w:szCs w:val="22"/>
        </w:rPr>
        <w:t>rund</w:t>
      </w:r>
      <w:proofErr w:type="spellEnd"/>
      <w:r>
        <w:rPr>
          <w:color w:val="2C2A28"/>
          <w:sz w:val="22"/>
          <w:szCs w:val="22"/>
        </w:rPr>
        <w:t xml:space="preserve"> 1,5 % des Bruttoinlandsprodukts.  </w:t>
      </w:r>
      <w:r>
        <w:rPr>
          <w:color w:val="5F5A57"/>
          <w:sz w:val="18"/>
          <w:szCs w:val="18"/>
        </w:rPr>
        <w:t xml:space="preserve">Quelle: </w:t>
      </w:r>
      <w:hyperlink r:id="rId8" w:history="1">
        <w:r>
          <w:rPr>
            <w:b/>
            <w:bCs/>
            <w:color w:val="267997"/>
            <w:sz w:val="19"/>
            <w:szCs w:val="19"/>
            <w:u w:val="single"/>
          </w:rPr>
          <w:t xml:space="preserve">ME/CFS Research </w:t>
        </w:r>
        <w:proofErr w:type="spellStart"/>
        <w:r>
          <w:rPr>
            <w:b/>
            <w:bCs/>
            <w:color w:val="267997"/>
            <w:sz w:val="19"/>
            <w:szCs w:val="19"/>
            <w:u w:val="single"/>
          </w:rPr>
          <w:t>Foundation</w:t>
        </w:r>
        <w:proofErr w:type="spellEnd"/>
        <w:r>
          <w:rPr>
            <w:b/>
            <w:bCs/>
            <w:color w:val="267997"/>
            <w:sz w:val="19"/>
            <w:szCs w:val="19"/>
            <w:u w:val="single"/>
          </w:rPr>
          <w:t xml:space="preserve"> 2025</w:t>
        </w:r>
      </w:hyperlink>
    </w:p>
    <w:p w14:paraId="3F8035EF" w14:textId="77777777" w:rsidR="00EF38F2" w:rsidRDefault="00000000">
      <w:pPr>
        <w:spacing w:after="120"/>
      </w:pPr>
      <w:r>
        <w:rPr>
          <w:b/>
          <w:bCs/>
          <w:color w:val="267997"/>
          <w:sz w:val="24"/>
          <w:szCs w:val="24"/>
        </w:rPr>
        <w:t xml:space="preserve">&gt; </w:t>
      </w:r>
      <w:proofErr w:type="gramStart"/>
      <w:r>
        <w:rPr>
          <w:b/>
          <w:bCs/>
          <w:color w:val="267997"/>
          <w:sz w:val="24"/>
          <w:szCs w:val="24"/>
        </w:rPr>
        <w:t xml:space="preserve">10.000  </w:t>
      </w:r>
      <w:r>
        <w:rPr>
          <w:color w:val="2C2A28"/>
          <w:sz w:val="22"/>
          <w:szCs w:val="22"/>
        </w:rPr>
        <w:t>Kinder</w:t>
      </w:r>
      <w:proofErr w:type="gramEnd"/>
      <w:r>
        <w:rPr>
          <w:color w:val="2C2A28"/>
          <w:sz w:val="22"/>
          <w:szCs w:val="22"/>
        </w:rPr>
        <w:t xml:space="preserve"> pro Jahr mit alkoholbedingten Schädigungen (FASD) – die häufigste vermeidbare angeborene Behinderung. Beim Vollbild (FAS) ist die Lebenserwartung stark verringert (</w:t>
      </w:r>
      <w:proofErr w:type="spellStart"/>
      <w:r>
        <w:rPr>
          <w:color w:val="2C2A28"/>
          <w:sz w:val="22"/>
          <w:szCs w:val="22"/>
        </w:rPr>
        <w:t>internat</w:t>
      </w:r>
      <w:proofErr w:type="spellEnd"/>
      <w:r>
        <w:rPr>
          <w:color w:val="2C2A28"/>
          <w:sz w:val="22"/>
          <w:szCs w:val="22"/>
        </w:rPr>
        <w:t xml:space="preserve">. Studie: im Mittel ~34 Jahre).  </w:t>
      </w:r>
      <w:r>
        <w:rPr>
          <w:color w:val="5F5A57"/>
          <w:sz w:val="18"/>
          <w:szCs w:val="18"/>
        </w:rPr>
        <w:t xml:space="preserve">Quelle: </w:t>
      </w:r>
      <w:hyperlink r:id="rId9" w:history="1">
        <w:r>
          <w:rPr>
            <w:b/>
            <w:bCs/>
            <w:color w:val="267997"/>
            <w:sz w:val="19"/>
            <w:szCs w:val="19"/>
            <w:u w:val="single"/>
          </w:rPr>
          <w:t>DKFZ 2023 · Thanh &amp; Jonsson 2016</w:t>
        </w:r>
      </w:hyperlink>
    </w:p>
    <w:p w14:paraId="34A1E811" w14:textId="77777777" w:rsidR="00EF38F2" w:rsidRDefault="00000000">
      <w:pPr>
        <w:spacing w:after="120"/>
      </w:pPr>
      <w:proofErr w:type="gramStart"/>
      <w:r>
        <w:rPr>
          <w:b/>
          <w:bCs/>
          <w:color w:val="267997"/>
          <w:sz w:val="24"/>
          <w:szCs w:val="24"/>
        </w:rPr>
        <w:t xml:space="preserve">verdoppelt  </w:t>
      </w:r>
      <w:r>
        <w:rPr>
          <w:color w:val="2C2A28"/>
          <w:sz w:val="22"/>
          <w:szCs w:val="22"/>
        </w:rPr>
        <w:t>Autismus</w:t>
      </w:r>
      <w:proofErr w:type="gramEnd"/>
      <w:r>
        <w:rPr>
          <w:color w:val="2C2A28"/>
          <w:sz w:val="22"/>
          <w:szCs w:val="22"/>
        </w:rPr>
        <w:t xml:space="preserve">-Diagnosen bei unter 25-Jährigen: von 0,4 % (2013) auf 0,8 % (2019); auch ADHS-Diagnosen nehmen seit Jahren zu.  </w:t>
      </w:r>
      <w:r>
        <w:rPr>
          <w:color w:val="5F5A57"/>
          <w:sz w:val="18"/>
          <w:szCs w:val="18"/>
        </w:rPr>
        <w:t xml:space="preserve">Quelle: </w:t>
      </w:r>
      <w:hyperlink r:id="rId10" w:history="1">
        <w:r>
          <w:rPr>
            <w:b/>
            <w:bCs/>
            <w:color w:val="267997"/>
            <w:sz w:val="19"/>
            <w:szCs w:val="19"/>
            <w:u w:val="single"/>
          </w:rPr>
          <w:t>hkk-Datenanalyse 2023</w:t>
        </w:r>
      </w:hyperlink>
    </w:p>
    <w:p w14:paraId="4250B0A3" w14:textId="77777777" w:rsidR="00EF38F2" w:rsidRDefault="00000000">
      <w:pPr>
        <w:pBdr>
          <w:left w:val="single" w:sz="18" w:space="14" w:color="267997"/>
        </w:pBdr>
        <w:spacing w:before="120" w:after="160"/>
        <w:ind w:left="215"/>
      </w:pPr>
      <w:r>
        <w:rPr>
          <w:b/>
          <w:bCs/>
          <w:color w:val="17385C"/>
          <w:sz w:val="22"/>
          <w:szCs w:val="22"/>
        </w:rPr>
        <w:t xml:space="preserve">Barrieren statt Behandlung: </w:t>
      </w:r>
      <w:r>
        <w:rPr>
          <w:color w:val="2C2A28"/>
          <w:sz w:val="22"/>
          <w:szCs w:val="22"/>
        </w:rPr>
        <w:t xml:space="preserve">Wissenslücken bei Behandelnden, Kommunikations- und Reizbarrieren erschweren gerade autistischen Menschen den Zugang zur Gesundheitsversorgung – oft mit schlechteren Ergebnissen und höheren Folgekosten.  </w:t>
      </w:r>
      <w:r>
        <w:rPr>
          <w:color w:val="5F5A57"/>
          <w:sz w:val="18"/>
          <w:szCs w:val="18"/>
        </w:rPr>
        <w:t xml:space="preserve">Quelle: </w:t>
      </w:r>
      <w:hyperlink r:id="rId11" w:history="1">
        <w:r>
          <w:rPr>
            <w:b/>
            <w:bCs/>
            <w:color w:val="267997"/>
            <w:sz w:val="19"/>
            <w:szCs w:val="19"/>
            <w:u w:val="single"/>
          </w:rPr>
          <w:t>Deutsches Ärzteblatt</w:t>
        </w:r>
      </w:hyperlink>
    </w:p>
    <w:p w14:paraId="2C953C9A" w14:textId="77777777" w:rsidR="00EF38F2" w:rsidRDefault="00000000">
      <w:pPr>
        <w:keepNext/>
        <w:spacing w:before="280" w:after="90"/>
      </w:pPr>
      <w:r>
        <w:rPr>
          <w:b/>
          <w:bCs/>
          <w:color w:val="267997"/>
          <w:sz w:val="26"/>
          <w:szCs w:val="26"/>
        </w:rPr>
        <w:t>Kluge Ansätze aus dem Ausland</w:t>
      </w:r>
    </w:p>
    <w:p w14:paraId="74429C2F" w14:textId="77777777" w:rsidR="00EF38F2" w:rsidRDefault="00000000">
      <w:pPr>
        <w:spacing w:after="130"/>
      </w:pPr>
      <w:r>
        <w:rPr>
          <w:color w:val="2C2A28"/>
          <w:sz w:val="22"/>
          <w:szCs w:val="22"/>
        </w:rPr>
        <w:t>Reizarme Zeiten, Gesprächsorte gegen Einsamkeit, klare Leitfäden: Anderswo gibt es kluge Ansätze, von denen sich lernen lässt.</w:t>
      </w:r>
    </w:p>
    <w:p w14:paraId="3A6EB8C7" w14:textId="77777777" w:rsidR="00EF38F2" w:rsidRDefault="00000000">
      <w:pPr>
        <w:spacing w:after="120"/>
      </w:pPr>
      <w:r>
        <w:rPr>
          <w:b/>
          <w:bCs/>
          <w:color w:val="267997"/>
          <w:sz w:val="22"/>
          <w:szCs w:val="22"/>
        </w:rPr>
        <w:t xml:space="preserve">Niederlande: </w:t>
      </w:r>
      <w:r>
        <w:rPr>
          <w:color w:val="2C2A28"/>
          <w:sz w:val="22"/>
          <w:szCs w:val="22"/>
        </w:rPr>
        <w:t>Supermärkte bieten die „</w:t>
      </w:r>
      <w:proofErr w:type="spellStart"/>
      <w:r>
        <w:rPr>
          <w:color w:val="2C2A28"/>
          <w:sz w:val="22"/>
          <w:szCs w:val="22"/>
        </w:rPr>
        <w:t>Kletskassa</w:t>
      </w:r>
      <w:proofErr w:type="spellEnd"/>
      <w:r>
        <w:rPr>
          <w:color w:val="2C2A28"/>
          <w:sz w:val="22"/>
          <w:szCs w:val="22"/>
        </w:rPr>
        <w:t>“ – eine langsame Plausch-Kasse gegen Einsamkeit; dazu reizarme Einkaufszeiten („</w:t>
      </w:r>
      <w:proofErr w:type="spellStart"/>
      <w:r>
        <w:rPr>
          <w:color w:val="2C2A28"/>
          <w:sz w:val="22"/>
          <w:szCs w:val="22"/>
        </w:rPr>
        <w:t>prikkelarm</w:t>
      </w:r>
      <w:proofErr w:type="spellEnd"/>
      <w:r>
        <w:rPr>
          <w:color w:val="2C2A28"/>
          <w:sz w:val="22"/>
          <w:szCs w:val="22"/>
        </w:rPr>
        <w:t xml:space="preserve"> </w:t>
      </w:r>
      <w:proofErr w:type="spellStart"/>
      <w:r>
        <w:rPr>
          <w:color w:val="2C2A28"/>
          <w:sz w:val="22"/>
          <w:szCs w:val="22"/>
        </w:rPr>
        <w:t>uur</w:t>
      </w:r>
      <w:proofErr w:type="spellEnd"/>
      <w:r>
        <w:rPr>
          <w:color w:val="2C2A28"/>
          <w:sz w:val="22"/>
          <w:szCs w:val="22"/>
        </w:rPr>
        <w:t xml:space="preserve">“, seit 2018).  </w:t>
      </w:r>
      <w:r>
        <w:rPr>
          <w:color w:val="5F5A57"/>
          <w:sz w:val="18"/>
          <w:szCs w:val="18"/>
        </w:rPr>
        <w:t xml:space="preserve">Quelle: </w:t>
      </w:r>
      <w:hyperlink r:id="rId12" w:history="1">
        <w:proofErr w:type="spellStart"/>
        <w:r>
          <w:rPr>
            <w:b/>
            <w:bCs/>
            <w:color w:val="267997"/>
            <w:sz w:val="19"/>
            <w:szCs w:val="19"/>
            <w:u w:val="single"/>
          </w:rPr>
          <w:t>Kletskassa</w:t>
        </w:r>
        <w:proofErr w:type="spellEnd"/>
        <w:r>
          <w:rPr>
            <w:b/>
            <w:bCs/>
            <w:color w:val="267997"/>
            <w:sz w:val="19"/>
            <w:szCs w:val="19"/>
            <w:u w:val="single"/>
          </w:rPr>
          <w:t xml:space="preserve"> (My Modern Met)</w:t>
        </w:r>
      </w:hyperlink>
      <w:r>
        <w:rPr>
          <w:color w:val="5F5A57"/>
          <w:sz w:val="18"/>
          <w:szCs w:val="18"/>
        </w:rPr>
        <w:t xml:space="preserve"> · </w:t>
      </w:r>
      <w:hyperlink r:id="rId13" w:history="1">
        <w:proofErr w:type="spellStart"/>
        <w:r>
          <w:rPr>
            <w:b/>
            <w:bCs/>
            <w:color w:val="267997"/>
            <w:sz w:val="19"/>
            <w:szCs w:val="19"/>
            <w:u w:val="single"/>
          </w:rPr>
          <w:t>prikkelarm</w:t>
        </w:r>
        <w:proofErr w:type="spellEnd"/>
        <w:r>
          <w:rPr>
            <w:b/>
            <w:bCs/>
            <w:color w:val="267997"/>
            <w:sz w:val="19"/>
            <w:szCs w:val="19"/>
            <w:u w:val="single"/>
          </w:rPr>
          <w:t xml:space="preserve"> </w:t>
        </w:r>
        <w:proofErr w:type="spellStart"/>
        <w:r>
          <w:rPr>
            <w:b/>
            <w:bCs/>
            <w:color w:val="267997"/>
            <w:sz w:val="19"/>
            <w:szCs w:val="19"/>
            <w:u w:val="single"/>
          </w:rPr>
          <w:t>uur</w:t>
        </w:r>
        <w:proofErr w:type="spellEnd"/>
      </w:hyperlink>
    </w:p>
    <w:p w14:paraId="44B36DF4" w14:textId="77777777" w:rsidR="00EF38F2" w:rsidRDefault="00000000">
      <w:pPr>
        <w:spacing w:after="120"/>
      </w:pPr>
      <w:r>
        <w:rPr>
          <w:b/>
          <w:bCs/>
          <w:color w:val="267997"/>
          <w:sz w:val="22"/>
          <w:szCs w:val="22"/>
        </w:rPr>
        <w:t xml:space="preserve">Brasilien: </w:t>
      </w:r>
      <w:r>
        <w:rPr>
          <w:color w:val="2C2A28"/>
          <w:sz w:val="22"/>
          <w:szCs w:val="22"/>
        </w:rPr>
        <w:t xml:space="preserve">In der gemeindenahen psychosozialen Versorgung sind „Rodas de </w:t>
      </w:r>
      <w:proofErr w:type="spellStart"/>
      <w:r>
        <w:rPr>
          <w:color w:val="2C2A28"/>
          <w:sz w:val="22"/>
          <w:szCs w:val="22"/>
        </w:rPr>
        <w:t>conversa</w:t>
      </w:r>
      <w:proofErr w:type="spellEnd"/>
      <w:r>
        <w:rPr>
          <w:color w:val="2C2A28"/>
          <w:sz w:val="22"/>
          <w:szCs w:val="22"/>
        </w:rPr>
        <w:t xml:space="preserve">“ (Gesprächskreise) verbreitet – niedrigschwellige Gesprächsorte, die Isolation und depressive Belastung mindern.  </w:t>
      </w:r>
      <w:r>
        <w:rPr>
          <w:color w:val="5F5A57"/>
          <w:sz w:val="18"/>
          <w:szCs w:val="18"/>
        </w:rPr>
        <w:t xml:space="preserve">Quelle: </w:t>
      </w:r>
      <w:hyperlink r:id="rId14" w:history="1">
        <w:proofErr w:type="spellStart"/>
        <w:r>
          <w:rPr>
            <w:b/>
            <w:bCs/>
            <w:color w:val="267997"/>
            <w:sz w:val="19"/>
            <w:szCs w:val="19"/>
            <w:u w:val="single"/>
          </w:rPr>
          <w:t>SciELO</w:t>
        </w:r>
        <w:proofErr w:type="spellEnd"/>
      </w:hyperlink>
    </w:p>
    <w:p w14:paraId="328E044E" w14:textId="77777777" w:rsidR="00EF38F2" w:rsidRDefault="00000000">
      <w:pPr>
        <w:spacing w:after="120"/>
      </w:pPr>
      <w:r>
        <w:rPr>
          <w:b/>
          <w:bCs/>
          <w:color w:val="267997"/>
          <w:sz w:val="22"/>
          <w:szCs w:val="22"/>
        </w:rPr>
        <w:t xml:space="preserve">Großbritannien: </w:t>
      </w:r>
      <w:r>
        <w:rPr>
          <w:color w:val="2C2A28"/>
          <w:sz w:val="22"/>
          <w:szCs w:val="22"/>
        </w:rPr>
        <w:t xml:space="preserve">Die nationale Autismus-Strategie 2021–2026 bündelt verbindliche Vorgaben für Diagnose, Versorgung und </w:t>
      </w:r>
      <w:proofErr w:type="spellStart"/>
      <w:r>
        <w:rPr>
          <w:color w:val="2C2A28"/>
          <w:sz w:val="22"/>
          <w:szCs w:val="22"/>
        </w:rPr>
        <w:t>autismusfreundliche</w:t>
      </w:r>
      <w:proofErr w:type="spellEnd"/>
      <w:r>
        <w:rPr>
          <w:color w:val="2C2A28"/>
          <w:sz w:val="22"/>
          <w:szCs w:val="22"/>
        </w:rPr>
        <w:t xml:space="preserve"> Angebote – ein echter Leitfaden.  </w:t>
      </w:r>
      <w:r>
        <w:rPr>
          <w:color w:val="5F5A57"/>
          <w:sz w:val="18"/>
          <w:szCs w:val="18"/>
        </w:rPr>
        <w:t xml:space="preserve">Quelle: </w:t>
      </w:r>
      <w:hyperlink r:id="rId15" w:history="1">
        <w:r>
          <w:rPr>
            <w:b/>
            <w:bCs/>
            <w:color w:val="267997"/>
            <w:sz w:val="19"/>
            <w:szCs w:val="19"/>
            <w:u w:val="single"/>
          </w:rPr>
          <w:t>gov.uk</w:t>
        </w:r>
      </w:hyperlink>
    </w:p>
    <w:p w14:paraId="0D47F5F0" w14:textId="77777777" w:rsidR="00EF38F2" w:rsidRDefault="00000000">
      <w:pPr>
        <w:spacing w:after="120"/>
      </w:pPr>
      <w:r>
        <w:rPr>
          <w:b/>
          <w:bCs/>
          <w:color w:val="267997"/>
          <w:sz w:val="22"/>
          <w:szCs w:val="22"/>
        </w:rPr>
        <w:t xml:space="preserve">Kanada: </w:t>
      </w:r>
      <w:r>
        <w:rPr>
          <w:color w:val="2C2A28"/>
          <w:sz w:val="22"/>
          <w:szCs w:val="22"/>
        </w:rPr>
        <w:t xml:space="preserve">Umwelt- und Duftstoffsensibilität gilt als Behinderung; duftstofffreie Richtlinien in Betrieben und Kliniken, Leitfaden der Menschenrechtskommission.  </w:t>
      </w:r>
      <w:r>
        <w:rPr>
          <w:color w:val="5F5A57"/>
          <w:sz w:val="18"/>
          <w:szCs w:val="18"/>
        </w:rPr>
        <w:t xml:space="preserve">Quelle: </w:t>
      </w:r>
      <w:hyperlink r:id="rId16" w:history="1">
        <w:r>
          <w:rPr>
            <w:b/>
            <w:bCs/>
            <w:color w:val="267997"/>
            <w:sz w:val="19"/>
            <w:szCs w:val="19"/>
            <w:u w:val="single"/>
          </w:rPr>
          <w:t xml:space="preserve">Canadian Human Rights </w:t>
        </w:r>
        <w:proofErr w:type="spellStart"/>
        <w:r>
          <w:rPr>
            <w:b/>
            <w:bCs/>
            <w:color w:val="267997"/>
            <w:sz w:val="19"/>
            <w:szCs w:val="19"/>
            <w:u w:val="single"/>
          </w:rPr>
          <w:t>Commission</w:t>
        </w:r>
        <w:proofErr w:type="spellEnd"/>
      </w:hyperlink>
    </w:p>
    <w:p w14:paraId="1CB2A43F" w14:textId="77777777" w:rsidR="00EF38F2" w:rsidRDefault="00000000">
      <w:pPr>
        <w:spacing w:after="120"/>
      </w:pPr>
      <w:r>
        <w:rPr>
          <w:b/>
          <w:bCs/>
          <w:color w:val="267997"/>
          <w:sz w:val="22"/>
          <w:szCs w:val="22"/>
        </w:rPr>
        <w:t xml:space="preserve">USA: </w:t>
      </w:r>
      <w:r>
        <w:rPr>
          <w:color w:val="2C2A28"/>
          <w:sz w:val="22"/>
          <w:szCs w:val="22"/>
        </w:rPr>
        <w:t xml:space="preserve">Das U.S. Access Board hält eine duftstofffreie Umgebung vor; Duftstoffsensibilität kann unter dem ADA als Behinderung gelten.  </w:t>
      </w:r>
      <w:r>
        <w:rPr>
          <w:color w:val="5F5A57"/>
          <w:sz w:val="18"/>
          <w:szCs w:val="18"/>
        </w:rPr>
        <w:t xml:space="preserve">Quelle: </w:t>
      </w:r>
      <w:hyperlink r:id="rId17" w:history="1">
        <w:r>
          <w:rPr>
            <w:b/>
            <w:bCs/>
            <w:color w:val="267997"/>
            <w:sz w:val="19"/>
            <w:szCs w:val="19"/>
            <w:u w:val="single"/>
          </w:rPr>
          <w:t>U.S. Access Board</w:t>
        </w:r>
      </w:hyperlink>
    </w:p>
    <w:p w14:paraId="0C53D73D" w14:textId="77777777" w:rsidR="00EF38F2" w:rsidRDefault="00000000">
      <w:pPr>
        <w:pBdr>
          <w:left w:val="single" w:sz="18" w:space="14" w:color="267997"/>
        </w:pBdr>
        <w:spacing w:before="120" w:after="160"/>
        <w:ind w:left="215"/>
      </w:pPr>
      <w:r>
        <w:rPr>
          <w:b/>
          <w:bCs/>
          <w:color w:val="17385C"/>
          <w:sz w:val="22"/>
          <w:szCs w:val="22"/>
        </w:rPr>
        <w:t xml:space="preserve">Und in Deutschland? </w:t>
      </w:r>
      <w:r>
        <w:rPr>
          <w:color w:val="2C2A28"/>
          <w:sz w:val="22"/>
          <w:szCs w:val="22"/>
        </w:rPr>
        <w:t>Hier ist die Prüfung solcher Folgen sogar rechtlich vorgesehen: Bei Gesetzen sind die Auswirkungen auf Menschen mit Behinderungen – ausdrücklich auch auf Kinder – zu ermitteln (</w:t>
      </w:r>
      <w:hyperlink r:id="rId18" w:history="1">
        <w:r>
          <w:rPr>
            <w:b/>
            <w:bCs/>
            <w:color w:val="267997"/>
            <w:sz w:val="19"/>
            <w:szCs w:val="19"/>
            <w:u w:val="single"/>
          </w:rPr>
          <w:t>§ 44 GGO</w:t>
        </w:r>
      </w:hyperlink>
      <w:r>
        <w:rPr>
          <w:color w:val="2C2A28"/>
          <w:sz w:val="22"/>
          <w:szCs w:val="22"/>
        </w:rPr>
        <w:t>), und die UN-Behindertenrechtskonvention verpflichtet dazu, Betroffene und ihre Organisationen einzubeziehen (</w:t>
      </w:r>
      <w:hyperlink r:id="rId19" w:history="1">
        <w:r>
          <w:rPr>
            <w:b/>
            <w:bCs/>
            <w:color w:val="267997"/>
            <w:sz w:val="19"/>
            <w:szCs w:val="19"/>
            <w:u w:val="single"/>
          </w:rPr>
          <w:t>Art. 4 und 7 UN-BRK</w:t>
        </w:r>
      </w:hyperlink>
      <w:r>
        <w:rPr>
          <w:color w:val="2C2A28"/>
          <w:sz w:val="22"/>
          <w:szCs w:val="22"/>
        </w:rPr>
        <w:t>). Entscheidend ist, dass das bei aktuellen Reformen auch tatsächlich und nachvollziehbar geschieht – von Anfang an.</w:t>
      </w:r>
    </w:p>
    <w:p w14:paraId="0774E42E" w14:textId="77777777" w:rsidR="00EF38F2" w:rsidRDefault="00000000">
      <w:pPr>
        <w:keepNext/>
        <w:spacing w:before="280" w:after="90"/>
      </w:pPr>
      <w:r>
        <w:rPr>
          <w:b/>
          <w:bCs/>
          <w:color w:val="267997"/>
          <w:sz w:val="26"/>
          <w:szCs w:val="26"/>
        </w:rPr>
        <w:t>Warum es ein neues Zeichen braucht</w:t>
      </w:r>
    </w:p>
    <w:p w14:paraId="2A6261D9" w14:textId="1A0D6EAB" w:rsidR="00EF38F2" w:rsidRDefault="00000000">
      <w:pPr>
        <w:spacing w:after="130"/>
      </w:pPr>
      <w:r>
        <w:rPr>
          <w:color w:val="2C2A28"/>
          <w:sz w:val="22"/>
          <w:szCs w:val="22"/>
        </w:rPr>
        <w:t xml:space="preserve">Für viele Behinderungen gibt es etablierte Zeichen: Das Rollstuhlsymbol </w:t>
      </w:r>
      <w:r w:rsidR="0088595A">
        <w:rPr>
          <w:color w:val="2C2A28"/>
          <w:sz w:val="22"/>
          <w:szCs w:val="22"/>
        </w:rPr>
        <w:t xml:space="preserve">oder die zwei Gebärden-Hände für Gehörlose </w:t>
      </w:r>
      <w:r>
        <w:rPr>
          <w:color w:val="2C2A28"/>
          <w:sz w:val="22"/>
          <w:szCs w:val="22"/>
        </w:rPr>
        <w:t>mach</w:t>
      </w:r>
      <w:r w:rsidR="0088595A">
        <w:rPr>
          <w:color w:val="2C2A28"/>
          <w:sz w:val="22"/>
          <w:szCs w:val="22"/>
        </w:rPr>
        <w:t>en</w:t>
      </w:r>
      <w:r>
        <w:rPr>
          <w:color w:val="2C2A28"/>
          <w:sz w:val="22"/>
          <w:szCs w:val="22"/>
        </w:rPr>
        <w:t xml:space="preserve"> eine Gruppe und ihre Barrieren auf einen Blick sichtbar. Für nicht sichtbare Behinderungen fehlt ein solches Zeichen – dabei ist gerade hier Sichtbarkeit ein wichtiger Teil</w:t>
      </w:r>
      <w:r w:rsidR="0088595A">
        <w:rPr>
          <w:color w:val="2C2A28"/>
          <w:sz w:val="22"/>
          <w:szCs w:val="22"/>
        </w:rPr>
        <w:t>, beim Abbau von Barrieren und Prävention</w:t>
      </w:r>
      <w:r>
        <w:rPr>
          <w:color w:val="2C2A28"/>
          <w:sz w:val="22"/>
          <w:szCs w:val="22"/>
        </w:rPr>
        <w:t>. International hat das Sunflower-Lanyard viel Aufmerksamkeit geschaffen; es ist jedoch markenrechtlich geschützt und an ein Mitgliedschaftsmodell gebunden, was den freien Zugang für Behörden und Betroffene begrenzt.</w:t>
      </w:r>
    </w:p>
    <w:p w14:paraId="1B5090F5" w14:textId="496717C2" w:rsidR="00EF38F2" w:rsidRDefault="00000000">
      <w:pPr>
        <w:spacing w:after="130"/>
      </w:pPr>
      <w:r>
        <w:rPr>
          <w:color w:val="2C2A28"/>
          <w:sz w:val="22"/>
          <w:szCs w:val="22"/>
        </w:rPr>
        <w:t xml:space="preserve">Ein frei nutzbares, offizielles Zeichen, das Behörden wie Betroffene ohne Hürde verwenden können, fehlt. Genau diese Lücke soll das </w:t>
      </w:r>
      <w:proofErr w:type="spellStart"/>
      <w:r>
        <w:rPr>
          <w:color w:val="2C2A28"/>
          <w:sz w:val="22"/>
          <w:szCs w:val="22"/>
        </w:rPr>
        <w:t>Cor</w:t>
      </w:r>
      <w:proofErr w:type="spellEnd"/>
      <w:r>
        <w:rPr>
          <w:color w:val="2C2A28"/>
          <w:sz w:val="22"/>
          <w:szCs w:val="22"/>
        </w:rPr>
        <w:t>.-System schließen.</w:t>
      </w:r>
    </w:p>
    <w:p w14:paraId="7CD5D9A5" w14:textId="77777777" w:rsidR="00EF38F2" w:rsidRDefault="00000000">
      <w:pPr>
        <w:keepNext/>
        <w:spacing w:before="280" w:after="90"/>
      </w:pPr>
      <w:r>
        <w:rPr>
          <w:b/>
          <w:bCs/>
          <w:color w:val="267997"/>
          <w:sz w:val="26"/>
          <w:szCs w:val="26"/>
        </w:rPr>
        <w:t xml:space="preserve">Das </w:t>
      </w:r>
      <w:proofErr w:type="spellStart"/>
      <w:r>
        <w:rPr>
          <w:b/>
          <w:bCs/>
          <w:color w:val="267997"/>
          <w:sz w:val="26"/>
          <w:szCs w:val="26"/>
        </w:rPr>
        <w:t>Cor</w:t>
      </w:r>
      <w:proofErr w:type="spellEnd"/>
      <w:r>
        <w:rPr>
          <w:b/>
          <w:bCs/>
          <w:color w:val="267997"/>
          <w:sz w:val="26"/>
          <w:szCs w:val="26"/>
        </w:rPr>
        <w:t>.-System – ein freies Konzept</w:t>
      </w:r>
    </w:p>
    <w:p w14:paraId="330B9C8F" w14:textId="2EA36DA5" w:rsidR="00EF38F2" w:rsidRDefault="00000000">
      <w:pPr>
        <w:spacing w:after="130"/>
      </w:pPr>
      <w:r>
        <w:rPr>
          <w:color w:val="2C2A28"/>
          <w:sz w:val="22"/>
          <w:szCs w:val="22"/>
        </w:rPr>
        <w:t xml:space="preserve">Das </w:t>
      </w:r>
      <w:proofErr w:type="spellStart"/>
      <w:r>
        <w:rPr>
          <w:color w:val="2C2A28"/>
          <w:sz w:val="22"/>
          <w:szCs w:val="22"/>
        </w:rPr>
        <w:t>Cor</w:t>
      </w:r>
      <w:proofErr w:type="spellEnd"/>
      <w:r>
        <w:rPr>
          <w:color w:val="2C2A28"/>
          <w:sz w:val="22"/>
          <w:szCs w:val="22"/>
        </w:rPr>
        <w:t>.-System setzt genau hier an – und zwar wie beim Rollstuhlsymbol nicht als eine bestimmte Darstellung eines Hilfsmittels, sondern als frei nutzbares Konzept. Das Zeichen ist halb Herz (für Verständnis) und halb Hirn (für Wissen); „</w:t>
      </w:r>
      <w:proofErr w:type="spellStart"/>
      <w:r>
        <w:rPr>
          <w:color w:val="2C2A28"/>
          <w:sz w:val="22"/>
          <w:szCs w:val="22"/>
        </w:rPr>
        <w:t>Cor</w:t>
      </w:r>
      <w:proofErr w:type="spellEnd"/>
      <w:r>
        <w:rPr>
          <w:color w:val="2C2A28"/>
          <w:sz w:val="22"/>
          <w:szCs w:val="22"/>
        </w:rPr>
        <w:t xml:space="preserve">.“ </w:t>
      </w:r>
      <w:r w:rsidR="0088595A">
        <w:rPr>
          <w:color w:val="2C2A28"/>
          <w:sz w:val="22"/>
          <w:szCs w:val="22"/>
        </w:rPr>
        <w:t xml:space="preserve">stand bei den Römern </w:t>
      </w:r>
      <w:r>
        <w:rPr>
          <w:color w:val="2C2A28"/>
          <w:sz w:val="22"/>
          <w:szCs w:val="22"/>
        </w:rPr>
        <w:t>für Herz</w:t>
      </w:r>
      <w:r w:rsidR="0088595A">
        <w:rPr>
          <w:color w:val="2C2A28"/>
          <w:sz w:val="22"/>
          <w:szCs w:val="22"/>
        </w:rPr>
        <w:t xml:space="preserve"> und Verstand</w:t>
      </w:r>
      <w:r>
        <w:rPr>
          <w:color w:val="2C2A28"/>
          <w:sz w:val="22"/>
          <w:szCs w:val="22"/>
        </w:rPr>
        <w:t>. Es ist so aufgebaut, dass Menschen ohne oder mit den unterschiedlichsten Behinderungen es jederzeit nutzen können.</w:t>
      </w:r>
    </w:p>
    <w:p w14:paraId="5F81D8F6" w14:textId="77777777" w:rsidR="00EF38F2" w:rsidRDefault="00000000">
      <w:pPr>
        <w:spacing w:after="130"/>
      </w:pPr>
      <w:r>
        <w:rPr>
          <w:color w:val="2C2A28"/>
          <w:sz w:val="22"/>
          <w:szCs w:val="22"/>
        </w:rPr>
        <w:lastRenderedPageBreak/>
        <w:t xml:space="preserve">Es gibt vier Wege – </w:t>
      </w:r>
      <w:r>
        <w:rPr>
          <w:b/>
          <w:bCs/>
          <w:color w:val="2C2A28"/>
          <w:sz w:val="22"/>
          <w:szCs w:val="22"/>
        </w:rPr>
        <w:t>sichtbar</w:t>
      </w:r>
      <w:r>
        <w:rPr>
          <w:color w:val="2C2A28"/>
          <w:sz w:val="22"/>
          <w:szCs w:val="22"/>
        </w:rPr>
        <w:t xml:space="preserve"> als Handzeichen, </w:t>
      </w:r>
      <w:r>
        <w:rPr>
          <w:b/>
          <w:bCs/>
          <w:color w:val="2C2A28"/>
          <w:sz w:val="22"/>
          <w:szCs w:val="22"/>
        </w:rPr>
        <w:t>lesbar</w:t>
      </w:r>
      <w:r>
        <w:rPr>
          <w:color w:val="2C2A28"/>
          <w:sz w:val="22"/>
          <w:szCs w:val="22"/>
        </w:rPr>
        <w:t xml:space="preserve"> als Ausweis, Karte oder Button, </w:t>
      </w:r>
      <w:r>
        <w:rPr>
          <w:b/>
          <w:bCs/>
          <w:color w:val="2C2A28"/>
          <w:sz w:val="22"/>
          <w:szCs w:val="22"/>
        </w:rPr>
        <w:t>hörbar</w:t>
      </w:r>
      <w:r>
        <w:rPr>
          <w:color w:val="2C2A28"/>
          <w:sz w:val="22"/>
          <w:szCs w:val="22"/>
        </w:rPr>
        <w:t xml:space="preserve"> als </w:t>
      </w:r>
      <w:proofErr w:type="spellStart"/>
      <w:r>
        <w:rPr>
          <w:color w:val="2C2A28"/>
          <w:sz w:val="22"/>
          <w:szCs w:val="22"/>
        </w:rPr>
        <w:t>Safewort</w:t>
      </w:r>
      <w:proofErr w:type="spellEnd"/>
      <w:r>
        <w:rPr>
          <w:color w:val="2C2A28"/>
          <w:sz w:val="22"/>
          <w:szCs w:val="22"/>
        </w:rPr>
        <w:t xml:space="preserve"> „</w:t>
      </w:r>
      <w:proofErr w:type="spellStart"/>
      <w:r>
        <w:rPr>
          <w:color w:val="2C2A28"/>
          <w:sz w:val="22"/>
          <w:szCs w:val="22"/>
        </w:rPr>
        <w:t>Cor</w:t>
      </w:r>
      <w:proofErr w:type="spellEnd"/>
      <w:r>
        <w:rPr>
          <w:color w:val="2C2A28"/>
          <w:sz w:val="22"/>
          <w:szCs w:val="22"/>
        </w:rPr>
        <w:t xml:space="preserve">.“ und </w:t>
      </w:r>
      <w:r>
        <w:rPr>
          <w:b/>
          <w:bCs/>
          <w:color w:val="2C2A28"/>
          <w:sz w:val="22"/>
          <w:szCs w:val="22"/>
        </w:rPr>
        <w:t>schreibbar</w:t>
      </w:r>
      <w:r>
        <w:rPr>
          <w:color w:val="2C2A28"/>
          <w:sz w:val="22"/>
          <w:szCs w:val="22"/>
        </w:rPr>
        <w:t xml:space="preserve"> in Nachrichten. „Wir hoffen, so für alle Menschen – mit und ohne Hände oder Möglichkeiten zu sprechen – ein Konzept gefunden zu haben, das in schwierigen Momenten hilft. Es muss nur bekannt werden. Wir hoffen, dass die Kampagne #SayCor – ‚Sag </w:t>
      </w:r>
      <w:proofErr w:type="spellStart"/>
      <w:r>
        <w:rPr>
          <w:color w:val="2C2A28"/>
          <w:sz w:val="22"/>
          <w:szCs w:val="22"/>
        </w:rPr>
        <w:t>Cor</w:t>
      </w:r>
      <w:proofErr w:type="spellEnd"/>
      <w:r>
        <w:rPr>
          <w:color w:val="2C2A28"/>
          <w:sz w:val="22"/>
          <w:szCs w:val="22"/>
        </w:rPr>
        <w:t>. Zeig Herz.‘ – bei vielen ankommt“, erklärt Rebecca Lefèvre, Leiterin der Initiative Stille Stunde und Sprecherin im Nationalen Suizidpräventionsprogramm der AG Neurodivergenz und neurologische Vielfalt.</w:t>
      </w:r>
    </w:p>
    <w:p w14:paraId="136D4C5B" w14:textId="77777777" w:rsidR="00EF38F2" w:rsidRDefault="00000000">
      <w:pPr>
        <w:spacing w:after="130"/>
      </w:pPr>
      <w:r>
        <w:rPr>
          <w:color w:val="2C2A28"/>
          <w:sz w:val="22"/>
          <w:szCs w:val="22"/>
        </w:rPr>
        <w:t xml:space="preserve">Das Besondere: Das Zeichen ist konkret. Es sagt nicht „Mir geht es nicht gut“, sondern: Wer das Zeichen kennt, versteht sofort, dass hier eine Überforderung stattfindet. Jetzt heißt es: weniger reden, Licht dimmen, Geräusche reduzieren, Rückzug ermöglichen, warten. Es zeigt keine Diagnose, sondern bittet um Rücksicht – und hilft beim Helfen. Mit diesem Konzept gehört der Verein zu den </w:t>
      </w:r>
      <w:proofErr w:type="spellStart"/>
      <w:proofErr w:type="gramStart"/>
      <w:r>
        <w:rPr>
          <w:color w:val="2C2A28"/>
          <w:sz w:val="22"/>
          <w:szCs w:val="22"/>
        </w:rPr>
        <w:t>Finalist:innen</w:t>
      </w:r>
      <w:proofErr w:type="spellEnd"/>
      <w:proofErr w:type="gramEnd"/>
      <w:r>
        <w:rPr>
          <w:color w:val="2C2A28"/>
          <w:sz w:val="22"/>
          <w:szCs w:val="22"/>
        </w:rPr>
        <w:t xml:space="preserve"> des </w:t>
      </w:r>
      <w:r>
        <w:rPr>
          <w:b/>
          <w:bCs/>
          <w:color w:val="2C2A28"/>
          <w:sz w:val="22"/>
          <w:szCs w:val="22"/>
        </w:rPr>
        <w:t>Hessischen Staatspreises Universelles Design 2026</w:t>
      </w:r>
      <w:r>
        <w:rPr>
          <w:color w:val="2C2A28"/>
          <w:sz w:val="22"/>
          <w:szCs w:val="22"/>
        </w:rPr>
        <w:t>; die Jury tagt im September.</w:t>
      </w:r>
    </w:p>
    <w:p w14:paraId="6317039E" w14:textId="45C5288D" w:rsidR="00EF38F2" w:rsidRDefault="00000000">
      <w:pPr>
        <w:spacing w:after="130"/>
      </w:pPr>
      <w:r>
        <w:rPr>
          <w:color w:val="2C2A28"/>
          <w:sz w:val="22"/>
          <w:szCs w:val="22"/>
        </w:rPr>
        <w:t>Wir leben in einer Zeit der Reizüberflutung und einer Zunahme wahrgenommener Impulsregulationsstörungen: ADHS-Diagnosen nehmen zu – und auch viele ADHS-ähnliche Regulationsschwierigkeiten. Das Annehmen, Wahrnehmen und manchmal auch das Aushalten kann ein wichtiger Impuls im Umgang mit solchen Situationen in Gruppen sein</w:t>
      </w:r>
      <w:r w:rsidR="001C0895">
        <w:rPr>
          <w:color w:val="2C2A28"/>
          <w:sz w:val="22"/>
          <w:szCs w:val="22"/>
        </w:rPr>
        <w:t>.</w:t>
      </w:r>
    </w:p>
    <w:tbl>
      <w:tblPr>
        <w:tblW w:w="9700" w:type="dxa"/>
        <w:tblCellMar>
          <w:left w:w="10" w:type="dxa"/>
          <w:right w:w="10" w:type="dxa"/>
        </w:tblCellMar>
        <w:tblLook w:val="0000" w:firstRow="0" w:lastRow="0" w:firstColumn="0" w:lastColumn="0" w:noHBand="0" w:noVBand="0"/>
      </w:tblPr>
      <w:tblGrid>
        <w:gridCol w:w="5750"/>
        <w:gridCol w:w="3950"/>
      </w:tblGrid>
      <w:tr w:rsidR="00EF38F2" w14:paraId="10E8B095" w14:textId="77777777">
        <w:tblPrEx>
          <w:tblCellMar>
            <w:top w:w="0" w:type="dxa"/>
            <w:bottom w:w="0" w:type="dxa"/>
          </w:tblCellMar>
        </w:tblPrEx>
        <w:tc>
          <w:tcPr>
            <w:tcW w:w="5750" w:type="dxa"/>
            <w:tcMar>
              <w:right w:w="200" w:type="dxa"/>
            </w:tcMar>
            <w:vAlign w:val="center"/>
          </w:tcPr>
          <w:p w14:paraId="04F2A5F6" w14:textId="77777777" w:rsidR="00EF38F2" w:rsidRDefault="00000000">
            <w:pPr>
              <w:pBdr>
                <w:left w:val="single" w:sz="18" w:space="14" w:color="267997"/>
              </w:pBdr>
              <w:spacing w:before="120" w:after="20"/>
              <w:ind w:left="360"/>
            </w:pPr>
            <w:r>
              <w:rPr>
                <w:i/>
                <w:iCs/>
                <w:color w:val="17385C"/>
                <w:sz w:val="24"/>
                <w:szCs w:val="24"/>
              </w:rPr>
              <w:t>„Ich komme besser durchs Leben, wenn mein Gegenüber etwas Herz und Wissen hat.“</w:t>
            </w:r>
          </w:p>
          <w:p w14:paraId="6BD56E82" w14:textId="77777777" w:rsidR="00EF38F2" w:rsidRDefault="00000000">
            <w:pPr>
              <w:spacing w:after="160"/>
              <w:ind w:left="360"/>
            </w:pPr>
            <w:r>
              <w:rPr>
                <w:b/>
                <w:bCs/>
                <w:color w:val="5F5A57"/>
                <w:sz w:val="18"/>
                <w:szCs w:val="18"/>
              </w:rPr>
              <w:t xml:space="preserve">Kevin </w:t>
            </w:r>
            <w:proofErr w:type="spellStart"/>
            <w:r>
              <w:rPr>
                <w:b/>
                <w:bCs/>
                <w:color w:val="5F5A57"/>
                <w:sz w:val="18"/>
                <w:szCs w:val="18"/>
              </w:rPr>
              <w:t>Kuhrt</w:t>
            </w:r>
            <w:proofErr w:type="spellEnd"/>
            <w:r>
              <w:rPr>
                <w:b/>
                <w:bCs/>
                <w:color w:val="5F5A57"/>
                <w:sz w:val="18"/>
                <w:szCs w:val="18"/>
              </w:rPr>
              <w:t xml:space="preserve"> · Mitglied der Initiative Stille Stunde</w:t>
            </w:r>
          </w:p>
        </w:tc>
        <w:tc>
          <w:tcPr>
            <w:tcW w:w="3950" w:type="dxa"/>
            <w:vAlign w:val="center"/>
          </w:tcPr>
          <w:p w14:paraId="75FD6E81" w14:textId="77777777" w:rsidR="00EF38F2" w:rsidRDefault="00000000">
            <w:pPr>
              <w:spacing w:before="120" w:after="60"/>
              <w:jc w:val="center"/>
            </w:pPr>
            <w:r>
              <w:rPr>
                <w:noProof/>
              </w:rPr>
              <w:drawing>
                <wp:inline distT="0" distB="0" distL="0" distR="0" wp14:anchorId="4BA7D089" wp14:editId="7FF801F0">
                  <wp:extent cx="1476375" cy="1924050"/>
                  <wp:effectExtent l="0" t="0" r="0" b="0"/>
                  <wp:docPr id="2002865861" name="Grafik 2002865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476375" cy="1924050"/>
                          </a:xfrm>
                          <a:prstGeom prst="rect">
                            <a:avLst/>
                          </a:prstGeom>
                        </pic:spPr>
                      </pic:pic>
                    </a:graphicData>
                  </a:graphic>
                </wp:inline>
              </w:drawing>
            </w:r>
          </w:p>
          <w:p w14:paraId="16853FAE" w14:textId="5E97E27E" w:rsidR="00EF38F2" w:rsidRDefault="00000000">
            <w:pPr>
              <w:jc w:val="center"/>
            </w:pPr>
            <w:r>
              <w:rPr>
                <w:i/>
                <w:iCs/>
                <w:color w:val="5F5A57"/>
                <w:sz w:val="15"/>
                <w:szCs w:val="15"/>
              </w:rPr>
              <w:t xml:space="preserve">Kevin </w:t>
            </w:r>
            <w:proofErr w:type="spellStart"/>
            <w:r>
              <w:rPr>
                <w:i/>
                <w:iCs/>
                <w:color w:val="5F5A57"/>
                <w:sz w:val="15"/>
                <w:szCs w:val="15"/>
              </w:rPr>
              <w:t>Kuhrt</w:t>
            </w:r>
            <w:proofErr w:type="spellEnd"/>
            <w:r>
              <w:rPr>
                <w:i/>
                <w:iCs/>
                <w:color w:val="5F5A57"/>
                <w:sz w:val="15"/>
                <w:szCs w:val="15"/>
              </w:rPr>
              <w:t xml:space="preserve"> lebt mit Tourette und ist bekannt</w:t>
            </w:r>
            <w:r w:rsidR="0088595A">
              <w:rPr>
                <w:i/>
                <w:iCs/>
                <w:color w:val="5F5A57"/>
                <w:sz w:val="15"/>
                <w:szCs w:val="15"/>
              </w:rPr>
              <w:br/>
            </w:r>
            <w:r>
              <w:rPr>
                <w:i/>
                <w:iCs/>
                <w:color w:val="5F5A57"/>
                <w:sz w:val="15"/>
                <w:szCs w:val="15"/>
              </w:rPr>
              <w:t xml:space="preserve"> aus der Vox-Sendung „Herbstresidenz“.</w:t>
            </w:r>
          </w:p>
        </w:tc>
      </w:tr>
    </w:tbl>
    <w:p w14:paraId="49CB0AB6" w14:textId="77777777" w:rsidR="00EF38F2" w:rsidRDefault="00EF38F2">
      <w:pPr>
        <w:spacing w:after="120"/>
      </w:pPr>
    </w:p>
    <w:p w14:paraId="0D66C601" w14:textId="77777777" w:rsidR="00EF38F2" w:rsidRDefault="00000000">
      <w:pPr>
        <w:keepNext/>
        <w:spacing w:before="280" w:after="90"/>
      </w:pPr>
      <w:r>
        <w:rPr>
          <w:b/>
          <w:bCs/>
          <w:color w:val="267997"/>
          <w:sz w:val="26"/>
          <w:szCs w:val="26"/>
        </w:rPr>
        <w:t>Sichtbarkeit ist Prävention</w:t>
      </w:r>
    </w:p>
    <w:p w14:paraId="3AC6DEB1" w14:textId="77777777" w:rsidR="00EF38F2" w:rsidRDefault="00000000">
      <w:pPr>
        <w:spacing w:after="130"/>
      </w:pPr>
      <w:r>
        <w:rPr>
          <w:color w:val="2C2A28"/>
          <w:sz w:val="22"/>
          <w:szCs w:val="22"/>
        </w:rPr>
        <w:t xml:space="preserve">Das </w:t>
      </w:r>
      <w:proofErr w:type="spellStart"/>
      <w:r>
        <w:rPr>
          <w:color w:val="2C2A28"/>
          <w:sz w:val="22"/>
          <w:szCs w:val="22"/>
        </w:rPr>
        <w:t>Cor</w:t>
      </w:r>
      <w:proofErr w:type="spellEnd"/>
      <w:r>
        <w:rPr>
          <w:color w:val="2C2A28"/>
          <w:sz w:val="22"/>
          <w:szCs w:val="22"/>
        </w:rPr>
        <w:t>.-System ist mehr als ein Höflichkeitssignal. Wird eine Barriere früh abgebaut, sinkt die anhaltende Belastung – und Teilhabe bleibt möglich, statt in Rückzug zu kippen. Genau hier setzt Prävention an. Die Initiative arbeitet dazu im Nationalen Suizidpräventionsprogramm (</w:t>
      </w:r>
      <w:proofErr w:type="spellStart"/>
      <w:r>
        <w:rPr>
          <w:color w:val="2C2A28"/>
          <w:sz w:val="22"/>
          <w:szCs w:val="22"/>
        </w:rPr>
        <w:t>NaSPro</w:t>
      </w:r>
      <w:proofErr w:type="spellEnd"/>
      <w:r>
        <w:rPr>
          <w:color w:val="2C2A28"/>
          <w:sz w:val="22"/>
          <w:szCs w:val="22"/>
        </w:rPr>
        <w:t>) mit und versucht von dort aus, mit Stellungnahmen und Projekten diese nicht sichtbaren, invisiblen Barrieren sichtbar zu machen.</w:t>
      </w:r>
    </w:p>
    <w:p w14:paraId="7A5A0D54" w14:textId="77777777" w:rsidR="00EF38F2" w:rsidRDefault="00000000">
      <w:pPr>
        <w:pBdr>
          <w:left w:val="single" w:sz="18" w:space="14" w:color="772327"/>
        </w:pBdr>
        <w:spacing w:before="120" w:after="20"/>
        <w:ind w:left="360"/>
      </w:pPr>
      <w:r>
        <w:rPr>
          <w:i/>
          <w:iCs/>
          <w:color w:val="17385C"/>
          <w:sz w:val="24"/>
          <w:szCs w:val="24"/>
        </w:rPr>
        <w:t>„Es ist nicht leicht: Im Gesundheitswesen und in den Inklusionsvertretungen wird seit Jahren an Barrierefreiheit gearbeitet – und dann teilen wir mit, dass eine Gruppe bisher fehlt. Da gibt es meist nur zwei Antworten: Begeisterung, etwas zu tun – oder Vorbehalte.“</w:t>
      </w:r>
    </w:p>
    <w:p w14:paraId="6BBE5855" w14:textId="77777777" w:rsidR="00EF38F2" w:rsidRDefault="00000000">
      <w:pPr>
        <w:spacing w:after="160"/>
        <w:ind w:left="360"/>
      </w:pPr>
      <w:r>
        <w:rPr>
          <w:b/>
          <w:bCs/>
          <w:color w:val="5F5A57"/>
          <w:sz w:val="18"/>
          <w:szCs w:val="18"/>
        </w:rPr>
        <w:t xml:space="preserve">Rebecca Lefèvre · Leiterin der Initiative Stille Stunde · Sprecherin der AG Neurodivergenz und neurologische Vielfalt im </w:t>
      </w:r>
      <w:proofErr w:type="spellStart"/>
      <w:r>
        <w:rPr>
          <w:b/>
          <w:bCs/>
          <w:color w:val="5F5A57"/>
          <w:sz w:val="18"/>
          <w:szCs w:val="18"/>
        </w:rPr>
        <w:t>NaSPro</w:t>
      </w:r>
      <w:proofErr w:type="spellEnd"/>
    </w:p>
    <w:p w14:paraId="004FA8A6" w14:textId="777F6E2B" w:rsidR="00EF38F2" w:rsidRDefault="00000000">
      <w:pPr>
        <w:spacing w:after="130"/>
      </w:pPr>
      <w:r>
        <w:rPr>
          <w:color w:val="2C2A28"/>
          <w:sz w:val="22"/>
          <w:szCs w:val="22"/>
        </w:rPr>
        <w:t xml:space="preserve">Das vom Verein gemeinsam zusammen e. V. entwickelte </w:t>
      </w:r>
      <w:r>
        <w:rPr>
          <w:b/>
          <w:bCs/>
          <w:color w:val="2C2A28"/>
          <w:sz w:val="22"/>
          <w:szCs w:val="22"/>
        </w:rPr>
        <w:t>KONVERA-Modell</w:t>
      </w:r>
      <w:r>
        <w:rPr>
          <w:color w:val="2C2A28"/>
          <w:sz w:val="22"/>
          <w:szCs w:val="22"/>
        </w:rPr>
        <w:t xml:space="preserve"> beschreibt, wie aus dauerhafter, unsichtbarer Überlastung ein Risiko werden kann – und an welchen Stellen früh entlastet werden kann. Es ist ein</w:t>
      </w:r>
      <w:r w:rsidR="001C0895">
        <w:rPr>
          <w:color w:val="2C2A28"/>
          <w:sz w:val="22"/>
          <w:szCs w:val="22"/>
        </w:rPr>
        <w:t>e</w:t>
      </w:r>
      <w:r>
        <w:rPr>
          <w:color w:val="2C2A28"/>
          <w:sz w:val="22"/>
          <w:szCs w:val="22"/>
        </w:rPr>
        <w:t xml:space="preserve"> </w:t>
      </w:r>
      <w:r w:rsidR="001C0895">
        <w:rPr>
          <w:color w:val="2C2A28"/>
          <w:sz w:val="22"/>
          <w:szCs w:val="22"/>
        </w:rPr>
        <w:t>Analyse</w:t>
      </w:r>
      <w:r>
        <w:rPr>
          <w:color w:val="2C2A28"/>
          <w:sz w:val="22"/>
          <w:szCs w:val="22"/>
        </w:rPr>
        <w:t>, kein abgeschlossenes Kausalmodell.</w:t>
      </w:r>
    </w:p>
    <w:p w14:paraId="0B058DD9" w14:textId="77777777" w:rsidR="00EF38F2" w:rsidRDefault="00000000">
      <w:pPr>
        <w:spacing w:before="120" w:after="60"/>
        <w:jc w:val="center"/>
      </w:pPr>
      <w:r>
        <w:rPr>
          <w:noProof/>
        </w:rPr>
        <w:lastRenderedPageBreak/>
        <w:drawing>
          <wp:inline distT="0" distB="0" distL="0" distR="0" wp14:anchorId="686F6326" wp14:editId="143B9887">
            <wp:extent cx="5905500" cy="3324225"/>
            <wp:effectExtent l="0" t="0" r="0" b="0"/>
            <wp:docPr id="461605731" name="Grafik 461605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5905500" cy="3324225"/>
                    </a:xfrm>
                    <a:prstGeom prst="rect">
                      <a:avLst/>
                    </a:prstGeom>
                  </pic:spPr>
                </pic:pic>
              </a:graphicData>
            </a:graphic>
          </wp:inline>
        </w:drawing>
      </w:r>
    </w:p>
    <w:p w14:paraId="6F1F7162" w14:textId="77777777" w:rsidR="00EF38F2" w:rsidRDefault="00000000">
      <w:pPr>
        <w:spacing w:after="160"/>
        <w:jc w:val="center"/>
      </w:pPr>
      <w:r>
        <w:rPr>
          <w:i/>
          <w:iCs/>
          <w:color w:val="5F5A57"/>
          <w:sz w:val="17"/>
          <w:szCs w:val="17"/>
        </w:rPr>
        <w:t>KONVERA-Kaskade als sich selbst verstärkender Kreislauf. Quelle: KONVERA-Kaskadenmodell · gemeinsam zusammen e. V.</w:t>
      </w:r>
    </w:p>
    <w:p w14:paraId="244DA39F" w14:textId="77777777" w:rsidR="00EF38F2" w:rsidRDefault="00000000">
      <w:pPr>
        <w:spacing w:after="160"/>
        <w:jc w:val="center"/>
      </w:pPr>
      <w:hyperlink r:id="rId22" w:history="1">
        <w:r>
          <w:rPr>
            <w:b/>
            <w:bCs/>
            <w:color w:val="267997"/>
            <w:sz w:val="19"/>
            <w:szCs w:val="19"/>
            <w:u w:val="single"/>
          </w:rPr>
          <w:t>Das vollständige KONVERA-Kaskadenmodell (PDF)</w:t>
        </w:r>
      </w:hyperlink>
    </w:p>
    <w:p w14:paraId="518ACC06" w14:textId="77777777" w:rsidR="00EF38F2" w:rsidRDefault="00000000">
      <w:pPr>
        <w:pBdr>
          <w:left w:val="single" w:sz="18" w:space="14" w:color="772327"/>
        </w:pBdr>
        <w:spacing w:before="120" w:after="20"/>
        <w:ind w:left="360"/>
      </w:pPr>
      <w:r>
        <w:rPr>
          <w:i/>
          <w:iCs/>
          <w:color w:val="17385C"/>
          <w:sz w:val="24"/>
          <w:szCs w:val="24"/>
        </w:rPr>
        <w:t>„Sensorische und kommunikative Barrieren müssen als suizidrelevante Stressoren mitgedacht werden – ein wichtiger Diskussionsbeitrag für gesundheitspolitische Forderungen.“</w:t>
      </w:r>
    </w:p>
    <w:p w14:paraId="05F3ED1A" w14:textId="77777777" w:rsidR="001C0895" w:rsidRPr="001C0895" w:rsidRDefault="00000000" w:rsidP="001C0895">
      <w:pPr>
        <w:pBdr>
          <w:left w:val="single" w:sz="18" w:space="14" w:color="772327"/>
        </w:pBdr>
        <w:spacing w:before="20" w:after="20"/>
        <w:ind w:left="357"/>
        <w:rPr>
          <w:i/>
          <w:iCs/>
          <w:color w:val="17385C"/>
          <w:sz w:val="24"/>
          <w:szCs w:val="24"/>
        </w:rPr>
      </w:pPr>
      <w:r>
        <w:rPr>
          <w:b/>
          <w:bCs/>
          <w:color w:val="5F5A57"/>
          <w:sz w:val="18"/>
          <w:szCs w:val="18"/>
        </w:rPr>
        <w:t xml:space="preserve">Prof. Dr. med. Ute </w:t>
      </w:r>
      <w:proofErr w:type="spellStart"/>
      <w:r>
        <w:rPr>
          <w:b/>
          <w:bCs/>
          <w:color w:val="5F5A57"/>
          <w:sz w:val="18"/>
          <w:szCs w:val="18"/>
        </w:rPr>
        <w:t>Lewitzka</w:t>
      </w:r>
      <w:proofErr w:type="spellEnd"/>
      <w:r>
        <w:rPr>
          <w:b/>
          <w:bCs/>
          <w:color w:val="5F5A57"/>
          <w:sz w:val="18"/>
          <w:szCs w:val="18"/>
        </w:rPr>
        <w:t xml:space="preserve"> · Professur für </w:t>
      </w:r>
      <w:proofErr w:type="spellStart"/>
      <w:r>
        <w:rPr>
          <w:b/>
          <w:bCs/>
          <w:color w:val="5F5A57"/>
          <w:sz w:val="18"/>
          <w:szCs w:val="18"/>
        </w:rPr>
        <w:t>Suizidologie</w:t>
      </w:r>
      <w:proofErr w:type="spellEnd"/>
      <w:r>
        <w:rPr>
          <w:b/>
          <w:bCs/>
          <w:color w:val="5F5A57"/>
          <w:sz w:val="18"/>
          <w:szCs w:val="18"/>
        </w:rPr>
        <w:t xml:space="preserve"> und Suizidprävention · Zentrum für Psychische Gesundheit, Universitätsklinikum Frankfurt – Goethe-Universität</w:t>
      </w:r>
      <w:r w:rsidR="001C0895">
        <w:rPr>
          <w:b/>
          <w:bCs/>
          <w:color w:val="5F5A57"/>
          <w:sz w:val="18"/>
          <w:szCs w:val="18"/>
        </w:rPr>
        <w:br/>
      </w:r>
      <w:r w:rsidR="001C0895">
        <w:rPr>
          <w:b/>
          <w:bCs/>
          <w:color w:val="5F5A57"/>
          <w:sz w:val="18"/>
          <w:szCs w:val="18"/>
        </w:rPr>
        <w:br/>
      </w:r>
      <w:r w:rsidR="001C0895" w:rsidRPr="001C0895">
        <w:rPr>
          <w:i/>
          <w:iCs/>
          <w:color w:val="17385C"/>
          <w:sz w:val="24"/>
          <w:szCs w:val="24"/>
        </w:rPr>
        <w:t>„Die Verbindung von Diagnostik, invisiblen Barrieren und Suizidprävention in einem</w:t>
      </w:r>
    </w:p>
    <w:p w14:paraId="79DBA03C" w14:textId="77777777" w:rsidR="001C0895" w:rsidRPr="001C0895" w:rsidRDefault="001C0895" w:rsidP="001C0895">
      <w:pPr>
        <w:pBdr>
          <w:left w:val="single" w:sz="18" w:space="14" w:color="772327"/>
        </w:pBdr>
        <w:spacing w:before="20" w:after="20"/>
        <w:ind w:left="357"/>
        <w:rPr>
          <w:i/>
          <w:iCs/>
          <w:color w:val="17385C"/>
          <w:sz w:val="24"/>
          <w:szCs w:val="24"/>
        </w:rPr>
      </w:pPr>
      <w:r w:rsidRPr="001C0895">
        <w:rPr>
          <w:i/>
          <w:iCs/>
          <w:color w:val="17385C"/>
          <w:sz w:val="24"/>
          <w:szCs w:val="24"/>
        </w:rPr>
        <w:t>Modell zu denken, ist ein relevanter Schritt. Diese Verknüpfungen bei der Prävention</w:t>
      </w:r>
    </w:p>
    <w:p w14:paraId="6E944F2A" w14:textId="799F1AED" w:rsidR="001C0895" w:rsidRDefault="001C0895" w:rsidP="001C0895">
      <w:pPr>
        <w:pBdr>
          <w:left w:val="single" w:sz="18" w:space="14" w:color="772327"/>
        </w:pBdr>
        <w:spacing w:before="20" w:after="20"/>
        <w:ind w:left="357"/>
      </w:pPr>
      <w:r w:rsidRPr="001C0895">
        <w:rPr>
          <w:i/>
          <w:iCs/>
          <w:color w:val="17385C"/>
          <w:sz w:val="24"/>
          <w:szCs w:val="24"/>
        </w:rPr>
        <w:t xml:space="preserve">im Blick zu </w:t>
      </w:r>
      <w:proofErr w:type="gramStart"/>
      <w:r w:rsidRPr="001C0895">
        <w:rPr>
          <w:i/>
          <w:iCs/>
          <w:color w:val="17385C"/>
          <w:sz w:val="24"/>
          <w:szCs w:val="24"/>
        </w:rPr>
        <w:t>halten</w:t>
      </w:r>
      <w:proofErr w:type="gramEnd"/>
      <w:r w:rsidRPr="001C0895">
        <w:rPr>
          <w:i/>
          <w:iCs/>
          <w:color w:val="17385C"/>
          <w:sz w:val="24"/>
          <w:szCs w:val="24"/>
        </w:rPr>
        <w:t xml:space="preserve"> muss Teil einer modernen Präventionsarbeit sein.“</w:t>
      </w:r>
    </w:p>
    <w:p w14:paraId="54C1E409" w14:textId="760E91CA" w:rsidR="00EF38F2" w:rsidRDefault="001C0895">
      <w:pPr>
        <w:spacing w:after="160"/>
        <w:ind w:left="360"/>
      </w:pPr>
      <w:r w:rsidRPr="001C0895">
        <w:rPr>
          <w:b/>
          <w:bCs/>
          <w:color w:val="5F5A57"/>
          <w:sz w:val="18"/>
          <w:szCs w:val="18"/>
        </w:rPr>
        <w:t>Prof. Dr. Reinhard Lindner, Nationales Suizidpräventionsprogramm (</w:t>
      </w:r>
      <w:proofErr w:type="spellStart"/>
      <w:r w:rsidRPr="001C0895">
        <w:rPr>
          <w:b/>
          <w:bCs/>
          <w:color w:val="5F5A57"/>
          <w:sz w:val="18"/>
          <w:szCs w:val="18"/>
        </w:rPr>
        <w:t>NaSPro</w:t>
      </w:r>
      <w:proofErr w:type="spellEnd"/>
      <w:r w:rsidRPr="001C0895">
        <w:rPr>
          <w:b/>
          <w:bCs/>
          <w:color w:val="5F5A57"/>
          <w:sz w:val="18"/>
          <w:szCs w:val="18"/>
        </w:rPr>
        <w:t>)</w:t>
      </w:r>
    </w:p>
    <w:p w14:paraId="2D560FA7" w14:textId="5268AA3B" w:rsidR="00EF38F2" w:rsidRDefault="001C0895">
      <w:pPr>
        <w:keepNext/>
        <w:spacing w:before="280" w:after="90"/>
      </w:pPr>
      <w:r>
        <w:rPr>
          <w:color w:val="2C2A28"/>
          <w:sz w:val="22"/>
          <w:szCs w:val="22"/>
        </w:rPr>
        <w:t xml:space="preserve">Lefèvre erhält dazu Unterstützung von führenden Vertretungen der Suizidforschung. </w:t>
      </w:r>
      <w:r>
        <w:rPr>
          <w:b/>
          <w:bCs/>
          <w:color w:val="267997"/>
          <w:sz w:val="26"/>
          <w:szCs w:val="26"/>
        </w:rPr>
        <w:br/>
      </w:r>
      <w:r>
        <w:rPr>
          <w:b/>
          <w:bCs/>
          <w:color w:val="267997"/>
          <w:sz w:val="26"/>
          <w:szCs w:val="26"/>
        </w:rPr>
        <w:br/>
      </w:r>
      <w:r w:rsidR="00000000">
        <w:rPr>
          <w:b/>
          <w:bCs/>
          <w:color w:val="267997"/>
          <w:sz w:val="26"/>
          <w:szCs w:val="26"/>
        </w:rPr>
        <w:t xml:space="preserve">Ein </w:t>
      </w:r>
      <w:r>
        <w:rPr>
          <w:b/>
          <w:bCs/>
          <w:color w:val="267997"/>
          <w:sz w:val="26"/>
          <w:szCs w:val="26"/>
        </w:rPr>
        <w:t>großes</w:t>
      </w:r>
      <w:r w:rsidR="00000000">
        <w:rPr>
          <w:b/>
          <w:bCs/>
          <w:color w:val="267997"/>
          <w:sz w:val="26"/>
          <w:szCs w:val="26"/>
        </w:rPr>
        <w:t xml:space="preserve"> Aktionspaket </w:t>
      </w:r>
      <w:r>
        <w:rPr>
          <w:b/>
          <w:bCs/>
          <w:color w:val="267997"/>
          <w:sz w:val="26"/>
          <w:szCs w:val="26"/>
        </w:rPr>
        <w:t>zum Mitmachen</w:t>
      </w:r>
    </w:p>
    <w:p w14:paraId="59A34019" w14:textId="77777777" w:rsidR="00EF38F2" w:rsidRDefault="00000000">
      <w:pPr>
        <w:spacing w:after="130"/>
      </w:pPr>
      <w:r>
        <w:rPr>
          <w:color w:val="2C2A28"/>
          <w:sz w:val="22"/>
          <w:szCs w:val="22"/>
        </w:rPr>
        <w:t xml:space="preserve">Für unterschiedliche Protagonisten hat der Verein verschiedene Aktionspakete geschnürt und ein Community-Konzept erarbeitet, das auf der Webseite liegt: </w:t>
      </w:r>
      <w:hyperlink r:id="rId23" w:history="1">
        <w:r>
          <w:rPr>
            <w:b/>
            <w:bCs/>
            <w:color w:val="267997"/>
            <w:u w:val="single"/>
          </w:rPr>
          <w:t>stille-stunde.com · Community-Konzept</w:t>
        </w:r>
      </w:hyperlink>
    </w:p>
    <w:p w14:paraId="66DEF564" w14:textId="33FB9188" w:rsidR="00EF38F2" w:rsidRDefault="001C0895">
      <w:pPr>
        <w:pStyle w:val="Listenabsatz"/>
        <w:numPr>
          <w:ilvl w:val="0"/>
          <w:numId w:val="2"/>
        </w:numPr>
        <w:spacing w:after="70"/>
      </w:pPr>
      <w:r>
        <w:rPr>
          <w:b/>
          <w:bCs/>
          <w:color w:val="2C2A28"/>
          <w:sz w:val="22"/>
          <w:szCs w:val="22"/>
        </w:rPr>
        <w:t>Maßnahmen</w:t>
      </w:r>
      <w:r w:rsidR="00000000">
        <w:rPr>
          <w:b/>
          <w:bCs/>
          <w:color w:val="2C2A28"/>
          <w:sz w:val="22"/>
          <w:szCs w:val="22"/>
        </w:rPr>
        <w:t xml:space="preserve"> je Gruppe </w:t>
      </w:r>
      <w:r w:rsidR="00000000">
        <w:rPr>
          <w:color w:val="2C2A28"/>
          <w:sz w:val="22"/>
          <w:szCs w:val="22"/>
        </w:rPr>
        <w:t>– mit passenden Materialien für Verwaltung, Inklusionsvertretung, Kita, Schule, Vereine, Wirtschaft, Gesundheit, Pflege und Rettung.</w:t>
      </w:r>
    </w:p>
    <w:p w14:paraId="1278F644" w14:textId="2340D916" w:rsidR="00EF38F2" w:rsidRDefault="00000000">
      <w:pPr>
        <w:pStyle w:val="Listenabsatz"/>
        <w:numPr>
          <w:ilvl w:val="0"/>
          <w:numId w:val="2"/>
        </w:numPr>
        <w:spacing w:after="70"/>
      </w:pPr>
      <w:r>
        <w:rPr>
          <w:color w:val="2C2A28"/>
          <w:sz w:val="22"/>
          <w:szCs w:val="22"/>
        </w:rPr>
        <w:t>Plakate, Ausmalbilder, Handbücher für den Unterricht, Barriere-Umfragen, Ausweis, Flyer und 39 Leitfäden für alle Lebenslagen.</w:t>
      </w:r>
    </w:p>
    <w:p w14:paraId="458C489F" w14:textId="77777777" w:rsidR="00EF38F2" w:rsidRDefault="00000000">
      <w:pPr>
        <w:pStyle w:val="Listenabsatz"/>
        <w:numPr>
          <w:ilvl w:val="0"/>
          <w:numId w:val="2"/>
        </w:numPr>
        <w:spacing w:after="70"/>
      </w:pPr>
      <w:r>
        <w:rPr>
          <w:b/>
          <w:bCs/>
          <w:color w:val="2C2A28"/>
          <w:sz w:val="22"/>
          <w:szCs w:val="22"/>
        </w:rPr>
        <w:t xml:space="preserve">Mitmachplakate zum Selbstgestalten </w:t>
      </w:r>
      <w:r>
        <w:rPr>
          <w:color w:val="2C2A28"/>
          <w:sz w:val="22"/>
          <w:szCs w:val="22"/>
        </w:rPr>
        <w:t>– über Vorlagen in wenigen Klicks anpassen, aushängen und teilen.</w:t>
      </w:r>
    </w:p>
    <w:p w14:paraId="31CAE543" w14:textId="77777777" w:rsidR="00EF38F2" w:rsidRDefault="00000000">
      <w:pPr>
        <w:pStyle w:val="Listenabsatz"/>
        <w:numPr>
          <w:ilvl w:val="0"/>
          <w:numId w:val="2"/>
        </w:numPr>
        <w:spacing w:after="70"/>
      </w:pPr>
      <w:r>
        <w:rPr>
          <w:b/>
          <w:bCs/>
          <w:color w:val="2C2A28"/>
          <w:sz w:val="22"/>
          <w:szCs w:val="22"/>
        </w:rPr>
        <w:t xml:space="preserve">Eine Foto-Aktion </w:t>
      </w:r>
      <w:r>
        <w:rPr>
          <w:color w:val="2C2A28"/>
          <w:sz w:val="22"/>
          <w:szCs w:val="22"/>
        </w:rPr>
        <w:t>– Gruppenfotos mit dem Handzeichen, die am Aktionstag mit Namen eingebunden und am 20. Oktober in der Veranstaltung gezeigt werden.</w:t>
      </w:r>
    </w:p>
    <w:p w14:paraId="4FCA0B96" w14:textId="77777777" w:rsidR="00EF38F2" w:rsidRDefault="00000000">
      <w:pPr>
        <w:keepNext/>
        <w:spacing w:before="280" w:after="90"/>
      </w:pPr>
      <w:r>
        <w:rPr>
          <w:b/>
          <w:bCs/>
          <w:color w:val="267997"/>
          <w:sz w:val="26"/>
          <w:szCs w:val="26"/>
        </w:rPr>
        <w:lastRenderedPageBreak/>
        <w:t>Was [die Kommune] am 20. Oktober tut</w:t>
      </w:r>
    </w:p>
    <w:tbl>
      <w:tblPr>
        <w:tblW w:w="9700" w:type="dxa"/>
        <w:tblCellMar>
          <w:left w:w="10" w:type="dxa"/>
          <w:right w:w="10" w:type="dxa"/>
        </w:tblCellMar>
        <w:tblLook w:val="0000" w:firstRow="0" w:lastRow="0" w:firstColumn="0" w:lastColumn="0" w:noHBand="0" w:noVBand="0"/>
      </w:tblPr>
      <w:tblGrid>
        <w:gridCol w:w="3950"/>
        <w:gridCol w:w="5750"/>
      </w:tblGrid>
      <w:tr w:rsidR="00EF38F2" w14:paraId="4F296C05" w14:textId="77777777">
        <w:tblPrEx>
          <w:tblCellMar>
            <w:top w:w="0" w:type="dxa"/>
            <w:bottom w:w="0" w:type="dxa"/>
          </w:tblCellMar>
        </w:tblPrEx>
        <w:tc>
          <w:tcPr>
            <w:tcW w:w="3950" w:type="dxa"/>
            <w:vAlign w:val="center"/>
          </w:tcPr>
          <w:p w14:paraId="152B67F0" w14:textId="77777777" w:rsidR="00EF38F2" w:rsidRDefault="00000000">
            <w:pPr>
              <w:spacing w:before="120" w:after="60"/>
              <w:jc w:val="center"/>
            </w:pPr>
            <w:r>
              <w:rPr>
                <w:noProof/>
              </w:rPr>
              <w:drawing>
                <wp:inline distT="0" distB="0" distL="0" distR="0" wp14:anchorId="4D571FD9" wp14:editId="226DB980">
                  <wp:extent cx="1571625" cy="2152650"/>
                  <wp:effectExtent l="0" t="0" r="0" b="0"/>
                  <wp:docPr id="552327429" name="Grafik 55232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1571625" cy="2152650"/>
                          </a:xfrm>
                          <a:prstGeom prst="rect">
                            <a:avLst/>
                          </a:prstGeom>
                        </pic:spPr>
                      </pic:pic>
                    </a:graphicData>
                  </a:graphic>
                </wp:inline>
              </w:drawing>
            </w:r>
          </w:p>
          <w:p w14:paraId="3D3F31FD" w14:textId="77777777" w:rsidR="00EF38F2" w:rsidRDefault="00000000">
            <w:pPr>
              <w:jc w:val="center"/>
            </w:pPr>
            <w:r>
              <w:rPr>
                <w:i/>
                <w:iCs/>
                <w:color w:val="5F5A57"/>
                <w:sz w:val="15"/>
                <w:szCs w:val="15"/>
              </w:rPr>
              <w:t>Mitmachen ist einfach: Gruppen können ein Herz zeigen, ein Foto bis zum 10. Oktober einsenden oder selbst die Vorlagen nutzen und posten – und am Aktionstag sichtbar werden.</w:t>
            </w:r>
          </w:p>
        </w:tc>
        <w:tc>
          <w:tcPr>
            <w:tcW w:w="5750" w:type="dxa"/>
            <w:tcMar>
              <w:left w:w="200" w:type="dxa"/>
            </w:tcMar>
            <w:vAlign w:val="center"/>
          </w:tcPr>
          <w:p w14:paraId="3C6D7B8C" w14:textId="77777777" w:rsidR="00EF38F2" w:rsidRDefault="00000000">
            <w:r>
              <w:rPr>
                <w:color w:val="2C2A28"/>
                <w:sz w:val="22"/>
                <w:szCs w:val="22"/>
              </w:rPr>
              <w:t>[Die Stadt / Gemeinde XY] wird sichtbar: mit einer „Stillen Stunde“ – einer festen, reizarmen Zeit mit gedämpftem Licht und weniger Lärm –, einem Infostand mit Ausweis und Button, einer Umfrage zu Barrieren vor Ort und einer eigenen Veranstaltung. Außerdem machen mit: [teilnehmende Vereine, Schulen, Kitas, Geschäfte und Selbsthilfegruppen eintragen].</w:t>
            </w:r>
          </w:p>
        </w:tc>
      </w:tr>
    </w:tbl>
    <w:p w14:paraId="0321E492" w14:textId="77777777" w:rsidR="00EF38F2" w:rsidRDefault="00EF38F2">
      <w:pPr>
        <w:spacing w:after="120"/>
      </w:pPr>
    </w:p>
    <w:p w14:paraId="464A65F8" w14:textId="77777777" w:rsidR="00EF38F2" w:rsidRDefault="00000000">
      <w:pPr>
        <w:keepNext/>
        <w:spacing w:before="280" w:after="90"/>
      </w:pPr>
      <w:proofErr w:type="spellStart"/>
      <w:r>
        <w:rPr>
          <w:b/>
          <w:bCs/>
          <w:color w:val="267997"/>
          <w:sz w:val="26"/>
          <w:szCs w:val="26"/>
        </w:rPr>
        <w:t>LIORA.Live</w:t>
      </w:r>
      <w:proofErr w:type="spellEnd"/>
      <w:r>
        <w:rPr>
          <w:b/>
          <w:bCs/>
          <w:color w:val="267997"/>
          <w:sz w:val="26"/>
          <w:szCs w:val="26"/>
        </w:rPr>
        <w:t xml:space="preserve"> – das Fest zum Aktionstag</w:t>
      </w:r>
    </w:p>
    <w:p w14:paraId="2F36A607" w14:textId="77777777" w:rsidR="00EF38F2" w:rsidRDefault="00000000">
      <w:pPr>
        <w:spacing w:after="130"/>
      </w:pPr>
      <w:r>
        <w:rPr>
          <w:color w:val="2C2A28"/>
          <w:sz w:val="22"/>
          <w:szCs w:val="22"/>
        </w:rPr>
        <w:t xml:space="preserve">Die Initiative Stille Stunde schaltet an diesem Tag alle 39 Leitfäden frei und überträgt ihr Fest </w:t>
      </w:r>
      <w:proofErr w:type="spellStart"/>
      <w:r>
        <w:rPr>
          <w:b/>
          <w:bCs/>
          <w:color w:val="2C2A28"/>
          <w:sz w:val="22"/>
          <w:szCs w:val="22"/>
        </w:rPr>
        <w:t>LIORA.Live</w:t>
      </w:r>
      <w:proofErr w:type="spellEnd"/>
      <w:r>
        <w:rPr>
          <w:color w:val="2C2A28"/>
          <w:sz w:val="22"/>
          <w:szCs w:val="22"/>
        </w:rPr>
        <w:t xml:space="preserve"> – ab </w:t>
      </w:r>
      <w:r>
        <w:rPr>
          <w:b/>
          <w:bCs/>
          <w:color w:val="2C2A28"/>
          <w:sz w:val="22"/>
          <w:szCs w:val="22"/>
        </w:rPr>
        <w:t>17 Uhr live aus der Veltins-Arena in Gelsenkirchen</w:t>
      </w:r>
      <w:r>
        <w:rPr>
          <w:color w:val="2C2A28"/>
          <w:sz w:val="22"/>
          <w:szCs w:val="22"/>
        </w:rPr>
        <w:t xml:space="preserve">, auf YouTube: mit Molly Sue (Finalistin des deutschen ESC-Vorentscheids 2026), dem Aktivisten Raul Krauthausen, der Modedesignerin Sema Gedik, einer </w:t>
      </w:r>
      <w:proofErr w:type="spellStart"/>
      <w:r>
        <w:rPr>
          <w:color w:val="2C2A28"/>
          <w:sz w:val="22"/>
          <w:szCs w:val="22"/>
        </w:rPr>
        <w:t>Deaf</w:t>
      </w:r>
      <w:proofErr w:type="spellEnd"/>
      <w:r>
        <w:rPr>
          <w:color w:val="2C2A28"/>
          <w:sz w:val="22"/>
          <w:szCs w:val="22"/>
        </w:rPr>
        <w:t xml:space="preserve">-Tanz-Performance; Kevin </w:t>
      </w:r>
      <w:proofErr w:type="spellStart"/>
      <w:r>
        <w:rPr>
          <w:color w:val="2C2A28"/>
          <w:sz w:val="22"/>
          <w:szCs w:val="22"/>
        </w:rPr>
        <w:t>Kuhrt</w:t>
      </w:r>
      <w:proofErr w:type="spellEnd"/>
      <w:r>
        <w:rPr>
          <w:color w:val="2C2A28"/>
          <w:sz w:val="22"/>
          <w:szCs w:val="22"/>
        </w:rPr>
        <w:t xml:space="preserve"> spricht über Tourette und das Arbeitsleben – und vielen mehr. Die eingesendeten Fotos der regionalen </w:t>
      </w:r>
      <w:proofErr w:type="spellStart"/>
      <w:proofErr w:type="gramStart"/>
      <w:r>
        <w:rPr>
          <w:color w:val="2C2A28"/>
          <w:sz w:val="22"/>
          <w:szCs w:val="22"/>
        </w:rPr>
        <w:t>Protagonist:innen</w:t>
      </w:r>
      <w:proofErr w:type="spellEnd"/>
      <w:proofErr w:type="gramEnd"/>
      <w:r>
        <w:rPr>
          <w:color w:val="2C2A28"/>
          <w:sz w:val="22"/>
          <w:szCs w:val="22"/>
        </w:rPr>
        <w:t xml:space="preserve"> werden dabei möglichst eingebunden. Besonderes Highlight für den Verein: der eigene Song </w:t>
      </w:r>
    </w:p>
    <w:p w14:paraId="5E8C173C" w14:textId="77777777" w:rsidR="00EF38F2" w:rsidRDefault="00000000">
      <w:pPr>
        <w:spacing w:after="130"/>
      </w:pPr>
      <w:hyperlink r:id="rId25" w:history="1">
        <w:r>
          <w:rPr>
            <w:b/>
            <w:bCs/>
            <w:color w:val="267997"/>
            <w:sz w:val="22"/>
            <w:szCs w:val="22"/>
            <w:u w:val="single"/>
          </w:rPr>
          <w:t>„Menschenlesen“ von Pils &amp; Kippe</w:t>
        </w:r>
      </w:hyperlink>
      <w:r>
        <w:rPr>
          <w:color w:val="2C2A28"/>
          <w:sz w:val="22"/>
          <w:szCs w:val="22"/>
        </w:rPr>
        <w:t>.</w:t>
      </w:r>
    </w:p>
    <w:p w14:paraId="3F643795" w14:textId="77777777" w:rsidR="00EF38F2" w:rsidRDefault="00000000">
      <w:pPr>
        <w:spacing w:before="120" w:after="60"/>
        <w:jc w:val="center"/>
      </w:pPr>
      <w:r>
        <w:rPr>
          <w:noProof/>
        </w:rPr>
        <w:drawing>
          <wp:inline distT="0" distB="0" distL="0" distR="0" wp14:anchorId="66722C07" wp14:editId="45100227">
            <wp:extent cx="4286250" cy="2409825"/>
            <wp:effectExtent l="0" t="0" r="0" b="0"/>
            <wp:docPr id="1840409460" name="Grafik 1840409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4286250" cy="2409825"/>
                    </a:xfrm>
                    <a:prstGeom prst="rect">
                      <a:avLst/>
                    </a:prstGeom>
                  </pic:spPr>
                </pic:pic>
              </a:graphicData>
            </a:graphic>
          </wp:inline>
        </w:drawing>
      </w:r>
    </w:p>
    <w:p w14:paraId="02B5205B" w14:textId="77777777" w:rsidR="00EF38F2" w:rsidRDefault="00000000">
      <w:pPr>
        <w:spacing w:after="160"/>
        <w:jc w:val="center"/>
      </w:pPr>
      <w:proofErr w:type="spellStart"/>
      <w:r>
        <w:rPr>
          <w:i/>
          <w:iCs/>
          <w:color w:val="5F5A57"/>
          <w:sz w:val="17"/>
          <w:szCs w:val="17"/>
        </w:rPr>
        <w:t>LIORA.Live</w:t>
      </w:r>
      <w:proofErr w:type="spellEnd"/>
      <w:r>
        <w:rPr>
          <w:i/>
          <w:iCs/>
          <w:color w:val="5F5A57"/>
          <w:sz w:val="17"/>
          <w:szCs w:val="17"/>
        </w:rPr>
        <w:t xml:space="preserve"> – am 20. Oktober ab 17 Uhr live aus der Veltins-Arena in Gelsenkirchen.</w:t>
      </w:r>
    </w:p>
    <w:p w14:paraId="79A6F2A3" w14:textId="77777777" w:rsidR="00EF38F2" w:rsidRDefault="00000000">
      <w:pPr>
        <w:keepNext/>
        <w:spacing w:before="280" w:after="90"/>
      </w:pPr>
      <w:r>
        <w:rPr>
          <w:b/>
          <w:bCs/>
          <w:color w:val="267997"/>
          <w:sz w:val="26"/>
          <w:szCs w:val="26"/>
        </w:rPr>
        <w:t>Über die Initiative Stille Stunde</w:t>
      </w:r>
    </w:p>
    <w:p w14:paraId="14B73E2C" w14:textId="77777777" w:rsidR="00EF38F2" w:rsidRDefault="00000000">
      <w:pPr>
        <w:spacing w:after="130"/>
      </w:pPr>
      <w:r>
        <w:rPr>
          <w:color w:val="2C2A28"/>
          <w:sz w:val="22"/>
          <w:szCs w:val="22"/>
        </w:rPr>
        <w:t xml:space="preserve">Die Initiative Stille Stunde (gemeinsam zusammen e. V.) setzt sich für Menschen mit nicht sichtbaren Behinderungen ein und hat das frei nutzbare </w:t>
      </w:r>
      <w:proofErr w:type="spellStart"/>
      <w:r>
        <w:rPr>
          <w:color w:val="2C2A28"/>
          <w:sz w:val="22"/>
          <w:szCs w:val="22"/>
        </w:rPr>
        <w:t>Cor</w:t>
      </w:r>
      <w:proofErr w:type="spellEnd"/>
      <w:r>
        <w:rPr>
          <w:color w:val="2C2A28"/>
          <w:sz w:val="22"/>
          <w:szCs w:val="22"/>
        </w:rPr>
        <w:t>.-System entwickelt. Sie ist Teil der Allianz für Suizidprävention und arbeitet im Nationalen Suizidpräventionsprogramm (</w:t>
      </w:r>
      <w:proofErr w:type="spellStart"/>
      <w:r>
        <w:rPr>
          <w:color w:val="2C2A28"/>
          <w:sz w:val="22"/>
          <w:szCs w:val="22"/>
        </w:rPr>
        <w:t>NaSPro</w:t>
      </w:r>
      <w:proofErr w:type="spellEnd"/>
      <w:r>
        <w:rPr>
          <w:color w:val="2C2A28"/>
          <w:sz w:val="22"/>
          <w:szCs w:val="22"/>
        </w:rPr>
        <w:t>) mit. Am 20. Oktober ruft sie bundesweit zum Mitmachen auf.</w:t>
      </w:r>
    </w:p>
    <w:p w14:paraId="54D8D80E" w14:textId="77777777" w:rsidR="00EF38F2" w:rsidRDefault="00000000">
      <w:pPr>
        <w:pBdr>
          <w:left w:val="single" w:sz="18" w:space="14" w:color="772327"/>
        </w:pBdr>
        <w:spacing w:before="120" w:after="160"/>
        <w:ind w:left="215"/>
      </w:pPr>
      <w:r>
        <w:rPr>
          <w:b/>
          <w:bCs/>
          <w:color w:val="17385C"/>
          <w:sz w:val="22"/>
          <w:szCs w:val="22"/>
        </w:rPr>
        <w:t xml:space="preserve">Wenn Sie Unterstützung brauchen: </w:t>
      </w:r>
      <w:r>
        <w:rPr>
          <w:color w:val="2C2A28"/>
          <w:sz w:val="22"/>
          <w:szCs w:val="22"/>
        </w:rPr>
        <w:t xml:space="preserve">Niemand muss eine Krise allein durchstehen. Die </w:t>
      </w:r>
      <w:proofErr w:type="spellStart"/>
      <w:r>
        <w:rPr>
          <w:color w:val="2C2A28"/>
          <w:sz w:val="22"/>
          <w:szCs w:val="22"/>
        </w:rPr>
        <w:t>TelefonSeelsorge</w:t>
      </w:r>
      <w:proofErr w:type="spellEnd"/>
      <w:r>
        <w:rPr>
          <w:color w:val="2C2A28"/>
          <w:sz w:val="22"/>
          <w:szCs w:val="22"/>
        </w:rPr>
        <w:t xml:space="preserve"> ist rund um die Uhr, kostenlos und anonym erreichbar – telefonisch unter 0800 111 0 111 und 0800 111 0 222 sowie per Chat und Mail über telefonseelsorge.de. In akuten Notfällen wählen Sie die 112. Für Kinder und Jugendliche gibt es die „Nummer gegen Kummer“: 116 111.</w:t>
      </w:r>
    </w:p>
    <w:p w14:paraId="1DE56229" w14:textId="77777777" w:rsidR="00EF38F2" w:rsidRDefault="00000000">
      <w:pPr>
        <w:pBdr>
          <w:left w:val="single" w:sz="18" w:space="14" w:color="267997"/>
        </w:pBdr>
        <w:spacing w:before="120" w:after="160"/>
        <w:ind w:left="215"/>
      </w:pPr>
      <w:r>
        <w:rPr>
          <w:b/>
          <w:bCs/>
          <w:color w:val="17385C"/>
          <w:sz w:val="22"/>
          <w:szCs w:val="22"/>
        </w:rPr>
        <w:lastRenderedPageBreak/>
        <w:t xml:space="preserve">Hinweis zur Veröffentlichung: </w:t>
      </w:r>
      <w:r>
        <w:rPr>
          <w:color w:val="2C2A28"/>
          <w:sz w:val="22"/>
          <w:szCs w:val="22"/>
        </w:rPr>
        <w:t>Dieser Text ist frei zur Veröffentlichung. Über einen Abdruck – ganz oder in Auszügen – freuen wir uns sehr. Bildmaterial in Druckqualität stellen wir gern auf Anfrage bereit. Für den Hinweis oder einen kurzen Beleg (Link oder Ausgabe) an post@stille-stunde.com danken wir herzlich.</w:t>
      </w:r>
    </w:p>
    <w:p w14:paraId="03F386E8" w14:textId="77777777" w:rsidR="00EF38F2" w:rsidRDefault="00000000">
      <w:pPr>
        <w:spacing w:after="120"/>
      </w:pPr>
      <w:r>
        <w:rPr>
          <w:b/>
          <w:bCs/>
          <w:color w:val="17385C"/>
          <w:sz w:val="19"/>
          <w:szCs w:val="19"/>
        </w:rPr>
        <w:t xml:space="preserve">Pressefoto: </w:t>
      </w:r>
      <w:r>
        <w:rPr>
          <w:color w:val="5F5A57"/>
          <w:sz w:val="19"/>
          <w:szCs w:val="19"/>
        </w:rPr>
        <w:t xml:space="preserve">Kevin </w:t>
      </w:r>
      <w:proofErr w:type="spellStart"/>
      <w:r>
        <w:rPr>
          <w:color w:val="5F5A57"/>
          <w:sz w:val="19"/>
          <w:szCs w:val="19"/>
        </w:rPr>
        <w:t>Kuhrt</w:t>
      </w:r>
      <w:proofErr w:type="spellEnd"/>
      <w:r>
        <w:rPr>
          <w:color w:val="5F5A57"/>
          <w:sz w:val="19"/>
          <w:szCs w:val="19"/>
        </w:rPr>
        <w:t xml:space="preserve"> – lebt mit Tourette und ist bekannt aus der Vox-Sendung „Herbstresidenz“; er setzt sich für nicht sichtbare Behinderungen ein. Download: </w:t>
      </w:r>
      <w:hyperlink r:id="rId27" w:history="1">
        <w:r>
          <w:rPr>
            <w:b/>
            <w:bCs/>
            <w:color w:val="267997"/>
            <w:sz w:val="19"/>
            <w:szCs w:val="19"/>
            <w:u w:val="single"/>
          </w:rPr>
          <w:t xml:space="preserve">stille-stunde.com · Kevin </w:t>
        </w:r>
        <w:proofErr w:type="spellStart"/>
        <w:r>
          <w:rPr>
            <w:b/>
            <w:bCs/>
            <w:color w:val="267997"/>
            <w:sz w:val="19"/>
            <w:szCs w:val="19"/>
            <w:u w:val="single"/>
          </w:rPr>
          <w:t>Kuhrt</w:t>
        </w:r>
        <w:proofErr w:type="spellEnd"/>
        <w:r>
          <w:rPr>
            <w:b/>
            <w:bCs/>
            <w:color w:val="267997"/>
            <w:sz w:val="19"/>
            <w:szCs w:val="19"/>
            <w:u w:val="single"/>
          </w:rPr>
          <w:t xml:space="preserve"> (JPEG)</w:t>
        </w:r>
      </w:hyperlink>
    </w:p>
    <w:p w14:paraId="308B14C0" w14:textId="77777777" w:rsidR="00EF38F2" w:rsidRDefault="00000000">
      <w:pPr>
        <w:keepNext/>
        <w:spacing w:before="280" w:after="90"/>
      </w:pPr>
      <w:r>
        <w:rPr>
          <w:b/>
          <w:bCs/>
          <w:color w:val="267997"/>
          <w:sz w:val="26"/>
          <w:szCs w:val="26"/>
        </w:rPr>
        <w:t>Studien &amp; Quellen</w:t>
      </w:r>
    </w:p>
    <w:p w14:paraId="62A7D281" w14:textId="77777777" w:rsidR="00EF38F2" w:rsidRDefault="00000000">
      <w:pPr>
        <w:spacing w:after="130"/>
      </w:pPr>
      <w:r>
        <w:rPr>
          <w:color w:val="2C2A28"/>
          <w:sz w:val="22"/>
          <w:szCs w:val="22"/>
        </w:rPr>
        <w:t>Die zentralen Aussagen dieser Mitteilung – mit Belegen zum Nachlesen:</w:t>
      </w:r>
    </w:p>
    <w:p w14:paraId="5B438703" w14:textId="77777777" w:rsidR="00EF38F2" w:rsidRDefault="00000000">
      <w:pPr>
        <w:spacing w:after="80"/>
      </w:pPr>
      <w:r>
        <w:rPr>
          <w:b/>
          <w:bCs/>
          <w:color w:val="17385C"/>
          <w:sz w:val="18"/>
          <w:szCs w:val="18"/>
        </w:rPr>
        <w:t xml:space="preserve">Nicht sichtbare Behinderungen sind die Mehrheit — </w:t>
      </w:r>
      <w:r>
        <w:rPr>
          <w:color w:val="2C2A28"/>
          <w:sz w:val="18"/>
          <w:szCs w:val="18"/>
        </w:rPr>
        <w:t xml:space="preserve">Bis zu ~70–80 % der Behinderungen sind von außen nicht erkennbar. </w:t>
      </w:r>
      <w:hyperlink r:id="rId28" w:history="1">
        <w:r>
          <w:rPr>
            <w:b/>
            <w:bCs/>
            <w:color w:val="267997"/>
            <w:sz w:val="18"/>
            <w:szCs w:val="18"/>
            <w:u w:val="single"/>
          </w:rPr>
          <w:t xml:space="preserve">UK </w:t>
        </w:r>
        <w:proofErr w:type="spellStart"/>
        <w:r>
          <w:rPr>
            <w:b/>
            <w:bCs/>
            <w:color w:val="267997"/>
            <w:sz w:val="18"/>
            <w:szCs w:val="18"/>
            <w:u w:val="single"/>
          </w:rPr>
          <w:t>Parliament</w:t>
        </w:r>
        <w:proofErr w:type="spellEnd"/>
        <w:r>
          <w:rPr>
            <w:b/>
            <w:bCs/>
            <w:color w:val="267997"/>
            <w:sz w:val="18"/>
            <w:szCs w:val="18"/>
            <w:u w:val="single"/>
          </w:rPr>
          <w:t xml:space="preserve"> POST 2023</w:t>
        </w:r>
      </w:hyperlink>
      <w:r>
        <w:rPr>
          <w:color w:val="5F5A57"/>
          <w:sz w:val="18"/>
          <w:szCs w:val="18"/>
        </w:rPr>
        <w:t xml:space="preserve"> · </w:t>
      </w:r>
      <w:hyperlink r:id="rId29" w:history="1">
        <w:r>
          <w:rPr>
            <w:b/>
            <w:bCs/>
            <w:color w:val="267997"/>
            <w:sz w:val="18"/>
            <w:szCs w:val="18"/>
            <w:u w:val="single"/>
          </w:rPr>
          <w:t xml:space="preserve">Hidden </w:t>
        </w:r>
        <w:proofErr w:type="spellStart"/>
        <w:r>
          <w:rPr>
            <w:b/>
            <w:bCs/>
            <w:color w:val="267997"/>
            <w:sz w:val="18"/>
            <w:szCs w:val="18"/>
            <w:u w:val="single"/>
          </w:rPr>
          <w:t>Disabilities</w:t>
        </w:r>
        <w:proofErr w:type="spellEnd"/>
        <w:r>
          <w:rPr>
            <w:b/>
            <w:bCs/>
            <w:color w:val="267997"/>
            <w:sz w:val="18"/>
            <w:szCs w:val="18"/>
            <w:u w:val="single"/>
          </w:rPr>
          <w:t xml:space="preserve"> Sunflower</w:t>
        </w:r>
      </w:hyperlink>
    </w:p>
    <w:p w14:paraId="489F6A5C" w14:textId="77777777" w:rsidR="00EF38F2" w:rsidRDefault="00000000">
      <w:pPr>
        <w:spacing w:after="80"/>
      </w:pPr>
      <w:r>
        <w:rPr>
          <w:b/>
          <w:bCs/>
          <w:color w:val="17385C"/>
          <w:sz w:val="18"/>
          <w:szCs w:val="18"/>
        </w:rPr>
        <w:t xml:space="preserve">Millionen Betroffene, meist im Leben erworben — </w:t>
      </w:r>
      <w:r>
        <w:rPr>
          <w:color w:val="2C2A28"/>
          <w:sz w:val="18"/>
          <w:szCs w:val="18"/>
        </w:rPr>
        <w:t xml:space="preserve">Rund 7,9 Mio. schwerbehinderte Menschen in Deutschland; häufigste Ursache ist eine Krankheit, nur ein kleiner Teil ist angeboren. </w:t>
      </w:r>
      <w:hyperlink r:id="rId30" w:history="1">
        <w:r>
          <w:rPr>
            <w:b/>
            <w:bCs/>
            <w:color w:val="267997"/>
            <w:sz w:val="18"/>
            <w:szCs w:val="18"/>
            <w:u w:val="single"/>
          </w:rPr>
          <w:t>Statistisches Bundesamt 2024</w:t>
        </w:r>
      </w:hyperlink>
    </w:p>
    <w:p w14:paraId="26C03752" w14:textId="77777777" w:rsidR="00EF38F2" w:rsidRDefault="00000000">
      <w:pPr>
        <w:spacing w:after="80"/>
      </w:pPr>
      <w:r>
        <w:rPr>
          <w:b/>
          <w:bCs/>
          <w:color w:val="17385C"/>
          <w:sz w:val="18"/>
          <w:szCs w:val="18"/>
        </w:rPr>
        <w:t xml:space="preserve">Psychische Erkrankungen / Fehltage — </w:t>
      </w:r>
      <w:r>
        <w:rPr>
          <w:color w:val="2C2A28"/>
          <w:sz w:val="18"/>
          <w:szCs w:val="18"/>
        </w:rPr>
        <w:t xml:space="preserve">342 AU-Tage je 100 Versicherte (17,4 % des Krankenstands); Kinderbetreuung/Altenpflege 586/573. </w:t>
      </w:r>
      <w:hyperlink r:id="rId31" w:history="1">
        <w:r>
          <w:rPr>
            <w:b/>
            <w:bCs/>
            <w:color w:val="267997"/>
            <w:sz w:val="18"/>
            <w:szCs w:val="18"/>
            <w:u w:val="single"/>
          </w:rPr>
          <w:t>DAK-</w:t>
        </w:r>
        <w:proofErr w:type="spellStart"/>
        <w:r>
          <w:rPr>
            <w:b/>
            <w:bCs/>
            <w:color w:val="267997"/>
            <w:sz w:val="18"/>
            <w:szCs w:val="18"/>
            <w:u w:val="single"/>
          </w:rPr>
          <w:t>Psychreport</w:t>
        </w:r>
        <w:proofErr w:type="spellEnd"/>
        <w:r>
          <w:rPr>
            <w:b/>
            <w:bCs/>
            <w:color w:val="267997"/>
            <w:sz w:val="18"/>
            <w:szCs w:val="18"/>
            <w:u w:val="single"/>
          </w:rPr>
          <w:t xml:space="preserve"> 2025</w:t>
        </w:r>
      </w:hyperlink>
    </w:p>
    <w:p w14:paraId="37170DD8" w14:textId="77777777" w:rsidR="00EF38F2" w:rsidRDefault="00000000">
      <w:pPr>
        <w:spacing w:after="80"/>
      </w:pPr>
      <w:r>
        <w:rPr>
          <w:b/>
          <w:bCs/>
          <w:color w:val="17385C"/>
          <w:sz w:val="18"/>
          <w:szCs w:val="18"/>
        </w:rPr>
        <w:t xml:space="preserve">ME/CFS und Long COVID — </w:t>
      </w:r>
      <w:r>
        <w:rPr>
          <w:color w:val="2C2A28"/>
          <w:sz w:val="18"/>
          <w:szCs w:val="18"/>
        </w:rPr>
        <w:t xml:space="preserve">≈ 650.000 Menschen mit ME/CFS; gesellschaftliche Kosten mit Long COVID rund 63 Mrd. € pro Jahr. </w:t>
      </w:r>
      <w:hyperlink r:id="rId32" w:history="1">
        <w:r>
          <w:rPr>
            <w:b/>
            <w:bCs/>
            <w:color w:val="267997"/>
            <w:sz w:val="18"/>
            <w:szCs w:val="18"/>
            <w:u w:val="single"/>
          </w:rPr>
          <w:t xml:space="preserve">ME/CFS Research </w:t>
        </w:r>
        <w:proofErr w:type="spellStart"/>
        <w:r>
          <w:rPr>
            <w:b/>
            <w:bCs/>
            <w:color w:val="267997"/>
            <w:sz w:val="18"/>
            <w:szCs w:val="18"/>
            <w:u w:val="single"/>
          </w:rPr>
          <w:t>Foundation</w:t>
        </w:r>
        <w:proofErr w:type="spellEnd"/>
        <w:r>
          <w:rPr>
            <w:b/>
            <w:bCs/>
            <w:color w:val="267997"/>
            <w:sz w:val="18"/>
            <w:szCs w:val="18"/>
            <w:u w:val="single"/>
          </w:rPr>
          <w:t xml:space="preserve"> 2025</w:t>
        </w:r>
      </w:hyperlink>
    </w:p>
    <w:p w14:paraId="0A7AF522" w14:textId="77777777" w:rsidR="00EF38F2" w:rsidRDefault="00000000">
      <w:pPr>
        <w:spacing w:after="80"/>
      </w:pPr>
      <w:r>
        <w:rPr>
          <w:b/>
          <w:bCs/>
          <w:color w:val="17385C"/>
          <w:sz w:val="18"/>
          <w:szCs w:val="18"/>
        </w:rPr>
        <w:t xml:space="preserve">FASD — </w:t>
      </w:r>
      <w:r>
        <w:rPr>
          <w:color w:val="2C2A28"/>
          <w:sz w:val="18"/>
          <w:szCs w:val="18"/>
        </w:rPr>
        <w:t xml:space="preserve">Über 10.000 Kinder pro Jahr mit alkoholbedingten Schädigungen; beim Vollbild (FAS) stark verringerte Lebenserwartung (~34 J.). </w:t>
      </w:r>
      <w:hyperlink r:id="rId33" w:history="1">
        <w:r>
          <w:rPr>
            <w:b/>
            <w:bCs/>
            <w:color w:val="267997"/>
            <w:sz w:val="18"/>
            <w:szCs w:val="18"/>
            <w:u w:val="single"/>
          </w:rPr>
          <w:t>DKFZ 2023</w:t>
        </w:r>
      </w:hyperlink>
      <w:r>
        <w:rPr>
          <w:color w:val="5F5A57"/>
          <w:sz w:val="18"/>
          <w:szCs w:val="18"/>
        </w:rPr>
        <w:t xml:space="preserve"> · </w:t>
      </w:r>
      <w:hyperlink r:id="rId34" w:history="1">
        <w:r>
          <w:rPr>
            <w:b/>
            <w:bCs/>
            <w:color w:val="267997"/>
            <w:sz w:val="18"/>
            <w:szCs w:val="18"/>
            <w:u w:val="single"/>
          </w:rPr>
          <w:t>Thanh &amp; Jonsson 2016</w:t>
        </w:r>
      </w:hyperlink>
    </w:p>
    <w:p w14:paraId="2A1ACEC7" w14:textId="77777777" w:rsidR="00EF38F2" w:rsidRDefault="00000000">
      <w:pPr>
        <w:spacing w:after="80"/>
      </w:pPr>
      <w:r>
        <w:rPr>
          <w:b/>
          <w:bCs/>
          <w:color w:val="17385C"/>
          <w:sz w:val="18"/>
          <w:szCs w:val="18"/>
        </w:rPr>
        <w:t xml:space="preserve">Autismus-Diagnosen — </w:t>
      </w:r>
      <w:r>
        <w:rPr>
          <w:color w:val="2C2A28"/>
          <w:sz w:val="18"/>
          <w:szCs w:val="18"/>
        </w:rPr>
        <w:t xml:space="preserve">Bei unter 25-Jährigen von 0,4 % (2013) auf 0,8 % (2019) verdoppelt. </w:t>
      </w:r>
      <w:hyperlink r:id="rId35" w:history="1">
        <w:r>
          <w:rPr>
            <w:b/>
            <w:bCs/>
            <w:color w:val="267997"/>
            <w:sz w:val="18"/>
            <w:szCs w:val="18"/>
            <w:u w:val="single"/>
          </w:rPr>
          <w:t>hkk-Datenanalyse 2023</w:t>
        </w:r>
      </w:hyperlink>
    </w:p>
    <w:p w14:paraId="617B6F53" w14:textId="77777777" w:rsidR="00EF38F2" w:rsidRDefault="00000000">
      <w:pPr>
        <w:spacing w:after="80"/>
      </w:pPr>
      <w:r>
        <w:rPr>
          <w:b/>
          <w:bCs/>
          <w:color w:val="17385C"/>
          <w:sz w:val="18"/>
          <w:szCs w:val="18"/>
        </w:rPr>
        <w:t xml:space="preserve">ADHS: Anstieg und Überdiagnose — </w:t>
      </w:r>
      <w:r>
        <w:rPr>
          <w:color w:val="2C2A28"/>
          <w:sz w:val="18"/>
          <w:szCs w:val="18"/>
        </w:rPr>
        <w:t xml:space="preserve">ADHS-Diagnosen steigen; zugleich werden ADHS und Autismus teils überdiagnostiziert – ähnliche Bilder werden häufiger erkannt. </w:t>
      </w:r>
      <w:hyperlink r:id="rId36" w:history="1">
        <w:r>
          <w:rPr>
            <w:b/>
            <w:bCs/>
            <w:color w:val="267997"/>
            <w:sz w:val="18"/>
            <w:szCs w:val="18"/>
            <w:u w:val="single"/>
          </w:rPr>
          <w:t>Deutsches Ärzteblatt: Überdiagnose</w:t>
        </w:r>
      </w:hyperlink>
      <w:r>
        <w:rPr>
          <w:color w:val="5F5A57"/>
          <w:sz w:val="18"/>
          <w:szCs w:val="18"/>
        </w:rPr>
        <w:t xml:space="preserve"> · </w:t>
      </w:r>
      <w:hyperlink r:id="rId37" w:history="1">
        <w:r>
          <w:rPr>
            <w:b/>
            <w:bCs/>
            <w:color w:val="267997"/>
            <w:sz w:val="18"/>
            <w:szCs w:val="18"/>
            <w:u w:val="single"/>
          </w:rPr>
          <w:t>Ärzteblatt: zu häufig diagnostiziert</w:t>
        </w:r>
      </w:hyperlink>
    </w:p>
    <w:p w14:paraId="576AA47C" w14:textId="77777777" w:rsidR="00EF38F2" w:rsidRDefault="00000000">
      <w:pPr>
        <w:spacing w:after="80"/>
      </w:pPr>
      <w:r>
        <w:rPr>
          <w:b/>
          <w:bCs/>
          <w:color w:val="17385C"/>
          <w:sz w:val="18"/>
          <w:szCs w:val="18"/>
        </w:rPr>
        <w:t xml:space="preserve">Emotions- und Impulsdysregulation bei Autismus — </w:t>
      </w:r>
      <w:r>
        <w:rPr>
          <w:color w:val="2C2A28"/>
          <w:sz w:val="18"/>
          <w:szCs w:val="18"/>
        </w:rPr>
        <w:t xml:space="preserve">Als reales, messbares Merkmal autistischer Erwachsener belegt. </w:t>
      </w:r>
      <w:hyperlink r:id="rId38" w:history="1">
        <w:proofErr w:type="spellStart"/>
        <w:r>
          <w:rPr>
            <w:b/>
            <w:bCs/>
            <w:color w:val="267997"/>
            <w:sz w:val="18"/>
            <w:szCs w:val="18"/>
            <w:u w:val="single"/>
          </w:rPr>
          <w:t>Molecular</w:t>
        </w:r>
        <w:proofErr w:type="spellEnd"/>
        <w:r>
          <w:rPr>
            <w:b/>
            <w:bCs/>
            <w:color w:val="267997"/>
            <w:sz w:val="18"/>
            <w:szCs w:val="18"/>
            <w:u w:val="single"/>
          </w:rPr>
          <w:t xml:space="preserve"> </w:t>
        </w:r>
        <w:proofErr w:type="spellStart"/>
        <w:r>
          <w:rPr>
            <w:b/>
            <w:bCs/>
            <w:color w:val="267997"/>
            <w:sz w:val="18"/>
            <w:szCs w:val="18"/>
            <w:u w:val="single"/>
          </w:rPr>
          <w:t>Autism</w:t>
        </w:r>
        <w:proofErr w:type="spellEnd"/>
        <w:r>
          <w:rPr>
            <w:b/>
            <w:bCs/>
            <w:color w:val="267997"/>
            <w:sz w:val="18"/>
            <w:szCs w:val="18"/>
            <w:u w:val="single"/>
          </w:rPr>
          <w:t xml:space="preserve"> 2023</w:t>
        </w:r>
      </w:hyperlink>
    </w:p>
    <w:p w14:paraId="31350104" w14:textId="77777777" w:rsidR="00EF38F2" w:rsidRDefault="00000000">
      <w:pPr>
        <w:spacing w:after="80"/>
      </w:pPr>
      <w:r>
        <w:rPr>
          <w:b/>
          <w:bCs/>
          <w:color w:val="17385C"/>
          <w:sz w:val="18"/>
          <w:szCs w:val="18"/>
        </w:rPr>
        <w:t xml:space="preserve">Barrieren im Gesundheitssystem — </w:t>
      </w:r>
      <w:r>
        <w:rPr>
          <w:color w:val="2C2A28"/>
          <w:sz w:val="18"/>
          <w:szCs w:val="18"/>
        </w:rPr>
        <w:t xml:space="preserve">Wissens-, Kommunikations- und Reizbarrieren erschweren autistischen Menschen den Zugang zur Versorgung. </w:t>
      </w:r>
      <w:hyperlink r:id="rId39" w:history="1">
        <w:r>
          <w:rPr>
            <w:b/>
            <w:bCs/>
            <w:color w:val="267997"/>
            <w:sz w:val="18"/>
            <w:szCs w:val="18"/>
            <w:u w:val="single"/>
          </w:rPr>
          <w:t>Deutsches Ärzteblatt</w:t>
        </w:r>
      </w:hyperlink>
    </w:p>
    <w:p w14:paraId="5974B35E" w14:textId="77777777" w:rsidR="00EF38F2" w:rsidRDefault="00000000">
      <w:pPr>
        <w:spacing w:after="80"/>
      </w:pPr>
      <w:r>
        <w:rPr>
          <w:b/>
          <w:bCs/>
          <w:color w:val="17385C"/>
          <w:sz w:val="18"/>
          <w:szCs w:val="18"/>
        </w:rPr>
        <w:t xml:space="preserve">Biologischer Preis chronischer Belastung — </w:t>
      </w:r>
      <w:r>
        <w:rPr>
          <w:color w:val="2C2A28"/>
          <w:sz w:val="18"/>
          <w:szCs w:val="18"/>
        </w:rPr>
        <w:t xml:space="preserve">Anhaltender Stress erhöht die allostatische Last – Grundlage von Stufe 2 der KONVERA-Kaskade. </w:t>
      </w:r>
      <w:hyperlink r:id="rId40" w:history="1">
        <w:r>
          <w:rPr>
            <w:b/>
            <w:bCs/>
            <w:color w:val="267997"/>
            <w:sz w:val="18"/>
            <w:szCs w:val="18"/>
            <w:u w:val="single"/>
          </w:rPr>
          <w:t>McEwen, NEJM 1998</w:t>
        </w:r>
      </w:hyperlink>
    </w:p>
    <w:p w14:paraId="6D1210D6" w14:textId="77777777" w:rsidR="00EF38F2" w:rsidRDefault="00000000">
      <w:pPr>
        <w:spacing w:after="80"/>
      </w:pPr>
      <w:r>
        <w:rPr>
          <w:b/>
          <w:bCs/>
          <w:color w:val="17385C"/>
          <w:sz w:val="18"/>
          <w:szCs w:val="18"/>
        </w:rPr>
        <w:t xml:space="preserve">Kluge Ansätze aus dem Ausland — </w:t>
      </w:r>
      <w:r>
        <w:rPr>
          <w:color w:val="2C2A28"/>
          <w:sz w:val="18"/>
          <w:szCs w:val="18"/>
        </w:rPr>
        <w:t xml:space="preserve">Niederlande: </w:t>
      </w:r>
      <w:proofErr w:type="spellStart"/>
      <w:r>
        <w:rPr>
          <w:color w:val="2C2A28"/>
          <w:sz w:val="18"/>
          <w:szCs w:val="18"/>
        </w:rPr>
        <w:t>Kletskassa</w:t>
      </w:r>
      <w:proofErr w:type="spellEnd"/>
      <w:r>
        <w:rPr>
          <w:color w:val="2C2A28"/>
          <w:sz w:val="18"/>
          <w:szCs w:val="18"/>
        </w:rPr>
        <w:t xml:space="preserve"> &amp; reizarme Stunde; Brasilien: Rodas de </w:t>
      </w:r>
      <w:proofErr w:type="spellStart"/>
      <w:r>
        <w:rPr>
          <w:color w:val="2C2A28"/>
          <w:sz w:val="18"/>
          <w:szCs w:val="18"/>
        </w:rPr>
        <w:t>conversa</w:t>
      </w:r>
      <w:proofErr w:type="spellEnd"/>
      <w:r>
        <w:rPr>
          <w:color w:val="2C2A28"/>
          <w:sz w:val="18"/>
          <w:szCs w:val="18"/>
        </w:rPr>
        <w:t xml:space="preserve">; UK: Autismus-Strategie 2021–2026; Kanada &amp; USA: duftstofffreie Richtlinien. </w:t>
      </w:r>
      <w:hyperlink r:id="rId41" w:history="1">
        <w:r>
          <w:rPr>
            <w:b/>
            <w:bCs/>
            <w:color w:val="267997"/>
            <w:sz w:val="18"/>
            <w:szCs w:val="18"/>
            <w:u w:val="single"/>
          </w:rPr>
          <w:t xml:space="preserve">NL </w:t>
        </w:r>
        <w:proofErr w:type="spellStart"/>
        <w:r>
          <w:rPr>
            <w:b/>
            <w:bCs/>
            <w:color w:val="267997"/>
            <w:sz w:val="18"/>
            <w:szCs w:val="18"/>
            <w:u w:val="single"/>
          </w:rPr>
          <w:t>Kletskassa</w:t>
        </w:r>
        <w:proofErr w:type="spellEnd"/>
      </w:hyperlink>
      <w:r>
        <w:rPr>
          <w:color w:val="5F5A57"/>
          <w:sz w:val="18"/>
          <w:szCs w:val="18"/>
        </w:rPr>
        <w:t xml:space="preserve"> · </w:t>
      </w:r>
      <w:hyperlink r:id="rId42" w:history="1">
        <w:r>
          <w:rPr>
            <w:b/>
            <w:bCs/>
            <w:color w:val="267997"/>
            <w:sz w:val="18"/>
            <w:szCs w:val="18"/>
            <w:u w:val="single"/>
          </w:rPr>
          <w:t xml:space="preserve">NL </w:t>
        </w:r>
        <w:proofErr w:type="spellStart"/>
        <w:r>
          <w:rPr>
            <w:b/>
            <w:bCs/>
            <w:color w:val="267997"/>
            <w:sz w:val="18"/>
            <w:szCs w:val="18"/>
            <w:u w:val="single"/>
          </w:rPr>
          <w:t>prikkelarm</w:t>
        </w:r>
        <w:proofErr w:type="spellEnd"/>
      </w:hyperlink>
      <w:r>
        <w:rPr>
          <w:color w:val="5F5A57"/>
          <w:sz w:val="18"/>
          <w:szCs w:val="18"/>
        </w:rPr>
        <w:t xml:space="preserve"> · </w:t>
      </w:r>
      <w:hyperlink r:id="rId43" w:history="1">
        <w:r>
          <w:rPr>
            <w:b/>
            <w:bCs/>
            <w:color w:val="267997"/>
            <w:sz w:val="18"/>
            <w:szCs w:val="18"/>
            <w:u w:val="single"/>
          </w:rPr>
          <w:t xml:space="preserve">BR </w:t>
        </w:r>
        <w:proofErr w:type="spellStart"/>
        <w:r>
          <w:rPr>
            <w:b/>
            <w:bCs/>
            <w:color w:val="267997"/>
            <w:sz w:val="18"/>
            <w:szCs w:val="18"/>
            <w:u w:val="single"/>
          </w:rPr>
          <w:t>SciELO</w:t>
        </w:r>
        <w:proofErr w:type="spellEnd"/>
      </w:hyperlink>
      <w:r>
        <w:rPr>
          <w:color w:val="5F5A57"/>
          <w:sz w:val="18"/>
          <w:szCs w:val="18"/>
        </w:rPr>
        <w:t xml:space="preserve"> · </w:t>
      </w:r>
      <w:hyperlink r:id="rId44" w:history="1">
        <w:r>
          <w:rPr>
            <w:b/>
            <w:bCs/>
            <w:color w:val="267997"/>
            <w:sz w:val="18"/>
            <w:szCs w:val="18"/>
            <w:u w:val="single"/>
          </w:rPr>
          <w:t>UK gov.uk</w:t>
        </w:r>
      </w:hyperlink>
      <w:r>
        <w:rPr>
          <w:color w:val="5F5A57"/>
          <w:sz w:val="18"/>
          <w:szCs w:val="18"/>
        </w:rPr>
        <w:t xml:space="preserve"> · </w:t>
      </w:r>
      <w:hyperlink r:id="rId45" w:history="1">
        <w:r>
          <w:rPr>
            <w:b/>
            <w:bCs/>
            <w:color w:val="267997"/>
            <w:sz w:val="18"/>
            <w:szCs w:val="18"/>
            <w:u w:val="single"/>
          </w:rPr>
          <w:t>CA CHRC</w:t>
        </w:r>
      </w:hyperlink>
      <w:r>
        <w:rPr>
          <w:color w:val="5F5A57"/>
          <w:sz w:val="18"/>
          <w:szCs w:val="18"/>
        </w:rPr>
        <w:t xml:space="preserve"> · </w:t>
      </w:r>
      <w:hyperlink r:id="rId46" w:history="1">
        <w:r>
          <w:rPr>
            <w:b/>
            <w:bCs/>
            <w:color w:val="267997"/>
            <w:sz w:val="18"/>
            <w:szCs w:val="18"/>
            <w:u w:val="single"/>
          </w:rPr>
          <w:t>US Access Board</w:t>
        </w:r>
      </w:hyperlink>
    </w:p>
    <w:p w14:paraId="691CCCF6" w14:textId="77777777" w:rsidR="00EF38F2" w:rsidRDefault="00000000">
      <w:pPr>
        <w:spacing w:after="80"/>
      </w:pPr>
      <w:r>
        <w:rPr>
          <w:b/>
          <w:bCs/>
          <w:color w:val="17385C"/>
          <w:sz w:val="18"/>
          <w:szCs w:val="18"/>
        </w:rPr>
        <w:t xml:space="preserve">Sunflower-Lanyard: markenrechtlich geschützt — </w:t>
      </w:r>
      <w:r>
        <w:rPr>
          <w:color w:val="2C2A28"/>
          <w:sz w:val="18"/>
          <w:szCs w:val="18"/>
        </w:rPr>
        <w:t xml:space="preserve">International verbreitet, aber an ein geschütztes Mitgliedschaftsmodell gebunden. </w:t>
      </w:r>
      <w:hyperlink r:id="rId47" w:history="1">
        <w:r>
          <w:rPr>
            <w:b/>
            <w:bCs/>
            <w:color w:val="267997"/>
            <w:sz w:val="18"/>
            <w:szCs w:val="18"/>
            <w:u w:val="single"/>
          </w:rPr>
          <w:t xml:space="preserve">Hidden </w:t>
        </w:r>
        <w:proofErr w:type="spellStart"/>
        <w:r>
          <w:rPr>
            <w:b/>
            <w:bCs/>
            <w:color w:val="267997"/>
            <w:sz w:val="18"/>
            <w:szCs w:val="18"/>
            <w:u w:val="single"/>
          </w:rPr>
          <w:t>Disabilities</w:t>
        </w:r>
        <w:proofErr w:type="spellEnd"/>
        <w:r>
          <w:rPr>
            <w:b/>
            <w:bCs/>
            <w:color w:val="267997"/>
            <w:sz w:val="18"/>
            <w:szCs w:val="18"/>
            <w:u w:val="single"/>
          </w:rPr>
          <w:t xml:space="preserve"> Sunflower</w:t>
        </w:r>
      </w:hyperlink>
    </w:p>
    <w:p w14:paraId="10EFF6E0" w14:textId="77777777" w:rsidR="00EF38F2" w:rsidRDefault="00000000">
      <w:pPr>
        <w:spacing w:after="80"/>
      </w:pPr>
      <w:r>
        <w:rPr>
          <w:b/>
          <w:bCs/>
          <w:color w:val="17385C"/>
          <w:sz w:val="18"/>
          <w:szCs w:val="18"/>
        </w:rPr>
        <w:t xml:space="preserve">Rechtlicher Rahmen in Deutschland — </w:t>
      </w:r>
      <w:r>
        <w:rPr>
          <w:color w:val="2C2A28"/>
          <w:sz w:val="18"/>
          <w:szCs w:val="18"/>
        </w:rPr>
        <w:t xml:space="preserve">Gesetzesfolgen für Menschen mit Behinderungen sind zu prüfen; Betroffene sind einzubeziehen. </w:t>
      </w:r>
      <w:hyperlink r:id="rId48" w:history="1">
        <w:r>
          <w:rPr>
            <w:b/>
            <w:bCs/>
            <w:color w:val="267997"/>
            <w:sz w:val="18"/>
            <w:szCs w:val="18"/>
            <w:u w:val="single"/>
          </w:rPr>
          <w:t>§ 44 GGO</w:t>
        </w:r>
      </w:hyperlink>
      <w:r>
        <w:rPr>
          <w:color w:val="5F5A57"/>
          <w:sz w:val="18"/>
          <w:szCs w:val="18"/>
        </w:rPr>
        <w:t xml:space="preserve"> · </w:t>
      </w:r>
      <w:hyperlink r:id="rId49" w:history="1">
        <w:r>
          <w:rPr>
            <w:b/>
            <w:bCs/>
            <w:color w:val="267997"/>
            <w:sz w:val="18"/>
            <w:szCs w:val="18"/>
            <w:u w:val="single"/>
          </w:rPr>
          <w:t>UN-BRK Art. 4/7</w:t>
        </w:r>
      </w:hyperlink>
    </w:p>
    <w:p w14:paraId="60DEAC5D" w14:textId="77777777" w:rsidR="00EF38F2" w:rsidRDefault="00000000">
      <w:pPr>
        <w:spacing w:after="80"/>
      </w:pPr>
      <w:r>
        <w:rPr>
          <w:b/>
          <w:bCs/>
          <w:color w:val="17385C"/>
          <w:sz w:val="18"/>
          <w:szCs w:val="18"/>
        </w:rPr>
        <w:t xml:space="preserve">KONVERA-Kaskadenmodell — </w:t>
      </w:r>
      <w:r>
        <w:rPr>
          <w:color w:val="2C2A28"/>
          <w:sz w:val="18"/>
          <w:szCs w:val="18"/>
        </w:rPr>
        <w:t xml:space="preserve">Präventionswissenschaftliches Strukturmodell der Initiative (frei nutzbar). </w:t>
      </w:r>
      <w:hyperlink r:id="rId50" w:history="1">
        <w:r>
          <w:rPr>
            <w:b/>
            <w:bCs/>
            <w:color w:val="267997"/>
            <w:sz w:val="18"/>
            <w:szCs w:val="18"/>
            <w:u w:val="single"/>
          </w:rPr>
          <w:t>gemeinsam zusammen e. V.</w:t>
        </w:r>
      </w:hyperlink>
    </w:p>
    <w:p w14:paraId="60DEAC5D" w14:textId="77777777" w:rsidR="00EF38F2" w:rsidRDefault="00000000">
      <w:pPr>
        <w:spacing w:after="80"/>
      </w:pPr>
      <w:r>
        <w:rPr>
          <w:b/>
          <w:bCs/>
          <w:color w:val="17385C"/>
          <w:sz w:val="18"/>
          <w:szCs w:val="18"/>
        </w:rPr>
        <w:t xml:space="preserve">Broschüre der AG Neurodivergenz &amp; neurologische Vielfalt — </w:t>
      </w:r>
      <w:r>
        <w:rPr>
          <w:color w:val="2C2A28"/>
          <w:sz w:val="18"/>
          <w:szCs w:val="18"/>
        </w:rPr>
        <w:t xml:space="preserve">Herausgegeben im Nationalen Suizidpräventionsprogramm (NaSPro) – zu nicht sichtbaren Behinderungen und unsichtbaren Barrieren. </w:t>
      </w:r>
      <w:hyperlink r:id="rId53" w:history="1">
        <w:r>
          <w:rPr>
            <w:b/>
            <w:bCs/>
            <w:color w:val="267997"/>
            <w:sz w:val="18"/>
            <w:szCs w:val="18"/>
            <w:u w:val="single"/>
          </w:rPr>
          <w:t>naspro.de</w:t>
        </w:r>
      </w:hyperlink>
    </w:p>
    <w:p w14:paraId="59876671" w14:textId="77777777" w:rsidR="00EF38F2" w:rsidRDefault="00000000">
      <w:pPr>
        <w:pBdr>
          <w:top w:val="single" w:sz="8" w:space="8" w:color="CCCCCC"/>
        </w:pBdr>
        <w:spacing w:before="200"/>
      </w:pPr>
      <w:r>
        <w:rPr>
          <w:b/>
          <w:bCs/>
          <w:color w:val="17385C"/>
          <w:sz w:val="19"/>
          <w:szCs w:val="19"/>
        </w:rPr>
        <w:t xml:space="preserve">Pressekontakt: </w:t>
      </w:r>
      <w:r>
        <w:rPr>
          <w:color w:val="5F5A57"/>
          <w:sz w:val="19"/>
          <w:szCs w:val="19"/>
        </w:rPr>
        <w:t>Rebecca Lefèvre · Initiative Stille Stunde / gemeinsam zusammen e. V. · post@stille-stunde.com · stille-stunde.com · #SayCor</w:t>
      </w:r>
    </w:p>
    <w:sectPr w:rsidR="00EF38F2">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922"/>
    <w:multiLevelType w:val="hybridMultilevel"/>
    <w:tmpl w:val="26944CE8"/>
    <w:lvl w:ilvl="0" w:tplc="F0AA728A">
      <w:start w:val="1"/>
      <w:numFmt w:val="bullet"/>
      <w:lvlText w:val="●"/>
      <w:lvlJc w:val="left"/>
      <w:pPr>
        <w:ind w:left="720" w:hanging="360"/>
      </w:pPr>
    </w:lvl>
    <w:lvl w:ilvl="1" w:tplc="B4BE85D0">
      <w:start w:val="1"/>
      <w:numFmt w:val="bullet"/>
      <w:lvlText w:val="○"/>
      <w:lvlJc w:val="left"/>
      <w:pPr>
        <w:ind w:left="1440" w:hanging="360"/>
      </w:pPr>
    </w:lvl>
    <w:lvl w:ilvl="2" w:tplc="259C1E16">
      <w:start w:val="1"/>
      <w:numFmt w:val="bullet"/>
      <w:lvlText w:val="■"/>
      <w:lvlJc w:val="left"/>
      <w:pPr>
        <w:ind w:left="2160" w:hanging="360"/>
      </w:pPr>
    </w:lvl>
    <w:lvl w:ilvl="3" w:tplc="91A85220">
      <w:start w:val="1"/>
      <w:numFmt w:val="bullet"/>
      <w:lvlText w:val="●"/>
      <w:lvlJc w:val="left"/>
      <w:pPr>
        <w:ind w:left="2880" w:hanging="360"/>
      </w:pPr>
    </w:lvl>
    <w:lvl w:ilvl="4" w:tplc="F8766FF8">
      <w:start w:val="1"/>
      <w:numFmt w:val="bullet"/>
      <w:lvlText w:val="○"/>
      <w:lvlJc w:val="left"/>
      <w:pPr>
        <w:ind w:left="3600" w:hanging="360"/>
      </w:pPr>
    </w:lvl>
    <w:lvl w:ilvl="5" w:tplc="D7C2C490">
      <w:start w:val="1"/>
      <w:numFmt w:val="bullet"/>
      <w:lvlText w:val="■"/>
      <w:lvlJc w:val="left"/>
      <w:pPr>
        <w:ind w:left="4320" w:hanging="360"/>
      </w:pPr>
    </w:lvl>
    <w:lvl w:ilvl="6" w:tplc="4CE45A42">
      <w:start w:val="1"/>
      <w:numFmt w:val="bullet"/>
      <w:lvlText w:val="●"/>
      <w:lvlJc w:val="left"/>
      <w:pPr>
        <w:ind w:left="5040" w:hanging="360"/>
      </w:pPr>
    </w:lvl>
    <w:lvl w:ilvl="7" w:tplc="1062FF70">
      <w:start w:val="1"/>
      <w:numFmt w:val="bullet"/>
      <w:lvlText w:val="●"/>
      <w:lvlJc w:val="left"/>
      <w:pPr>
        <w:ind w:left="5760" w:hanging="360"/>
      </w:pPr>
    </w:lvl>
    <w:lvl w:ilvl="8" w:tplc="0798C226">
      <w:start w:val="1"/>
      <w:numFmt w:val="bullet"/>
      <w:lvlText w:val="●"/>
      <w:lvlJc w:val="left"/>
      <w:pPr>
        <w:ind w:left="6480" w:hanging="360"/>
      </w:pPr>
    </w:lvl>
  </w:abstractNum>
  <w:abstractNum w:abstractNumId="1" w15:restartNumberingAfterBreak="0">
    <w:nsid w:val="5B836E6D"/>
    <w:multiLevelType w:val="hybridMultilevel"/>
    <w:tmpl w:val="228EE788"/>
    <w:lvl w:ilvl="0" w:tplc="FCD2C3EC">
      <w:start w:val="1"/>
      <w:numFmt w:val="bullet"/>
      <w:lvlText w:val="•"/>
      <w:lvlJc w:val="left"/>
      <w:pPr>
        <w:ind w:left="431" w:hanging="288"/>
      </w:pPr>
    </w:lvl>
    <w:lvl w:ilvl="1" w:tplc="C7C2E80E">
      <w:numFmt w:val="decimal"/>
      <w:lvlText w:val=""/>
      <w:lvlJc w:val="left"/>
    </w:lvl>
    <w:lvl w:ilvl="2" w:tplc="F5183E22">
      <w:numFmt w:val="decimal"/>
      <w:lvlText w:val=""/>
      <w:lvlJc w:val="left"/>
    </w:lvl>
    <w:lvl w:ilvl="3" w:tplc="1ADE2464">
      <w:numFmt w:val="decimal"/>
      <w:lvlText w:val=""/>
      <w:lvlJc w:val="left"/>
    </w:lvl>
    <w:lvl w:ilvl="4" w:tplc="56F4310A">
      <w:numFmt w:val="decimal"/>
      <w:lvlText w:val=""/>
      <w:lvlJc w:val="left"/>
    </w:lvl>
    <w:lvl w:ilvl="5" w:tplc="D9E6C670">
      <w:numFmt w:val="decimal"/>
      <w:lvlText w:val=""/>
      <w:lvlJc w:val="left"/>
    </w:lvl>
    <w:lvl w:ilvl="6" w:tplc="3278903E">
      <w:numFmt w:val="decimal"/>
      <w:lvlText w:val=""/>
      <w:lvlJc w:val="left"/>
    </w:lvl>
    <w:lvl w:ilvl="7" w:tplc="0C5A29A0">
      <w:numFmt w:val="decimal"/>
      <w:lvlText w:val=""/>
      <w:lvlJc w:val="left"/>
    </w:lvl>
    <w:lvl w:ilvl="8" w:tplc="63DEA3AC">
      <w:numFmt w:val="decimal"/>
      <w:lvlText w:val=""/>
      <w:lvlJc w:val="left"/>
    </w:lvl>
  </w:abstractNum>
  <w:num w:numId="1" w16cid:durableId="1411580147">
    <w:abstractNumId w:val="0"/>
    <w:lvlOverride w:ilvl="0">
      <w:startOverride w:val="1"/>
    </w:lvlOverride>
  </w:num>
  <w:num w:numId="2" w16cid:durableId="212815492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8F2"/>
    <w:rsid w:val="001C0895"/>
    <w:rsid w:val="00471020"/>
    <w:rsid w:val="0088595A"/>
    <w:rsid w:val="00EF38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E06432A"/>
  <w15:docId w15:val="{A17D7662-C3AF-5F4A-AD4F-0A84D8AB5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utisme.nl/2018/09/03/eerste-nederlandse-supermarkt-voert-prikkelarm-uur-in/" TargetMode="External"/><Relationship Id="rId18" Type="http://schemas.openxmlformats.org/officeDocument/2006/relationships/hyperlink" Target="https://www.verwaltungsvorschriften-im-internet.de/bsvwvbund_21072009_O11313012.htm" TargetMode="External"/><Relationship Id="rId26" Type="http://schemas.openxmlformats.org/officeDocument/2006/relationships/image" Target="media/image4.jpg"/><Relationship Id="rId39" Type="http://schemas.openxmlformats.org/officeDocument/2006/relationships/hyperlink" Target="https://www.aerzteblatt.de/archiv/112474/Menschen-mit-Autismus-Barrierefreier-Zugang-zur-Versorgung" TargetMode="External"/><Relationship Id="rId21" Type="http://schemas.openxmlformats.org/officeDocument/2006/relationships/image" Target="media/image2.png"/><Relationship Id="rId34" Type="http://schemas.openxmlformats.org/officeDocument/2006/relationships/hyperlink" Target="https://pubmed.ncbi.nlm.nih.gov/26962962/" TargetMode="External"/><Relationship Id="rId42" Type="http://schemas.openxmlformats.org/officeDocument/2006/relationships/hyperlink" Target="https://www.autisme.nl/2018/09/03/eerste-nederlandse-supermarkt-voert-prikkelarm-uur-in/" TargetMode="External"/><Relationship Id="rId47" Type="http://schemas.openxmlformats.org/officeDocument/2006/relationships/hyperlink" Target="https://hdsunflower.com/" TargetMode="External"/><Relationship Id="rId50" Type="http://schemas.openxmlformats.org/officeDocument/2006/relationships/hyperlink" Target="https://www.stille-stunde.com/wp-content/uploads/2026/07/KONVERA_Kaskadenmodell_Suizidalitaet.pdf" TargetMode="External"/><Relationship Id="rId7" Type="http://schemas.openxmlformats.org/officeDocument/2006/relationships/hyperlink" Target="https://www.mecfs.de/gesellschaftliche-kosten-von-long-covid-und-me-cfs/" TargetMode="External"/><Relationship Id="rId2" Type="http://schemas.openxmlformats.org/officeDocument/2006/relationships/styles" Target="styles.xml"/><Relationship Id="rId16" Type="http://schemas.openxmlformats.org/officeDocument/2006/relationships/hyperlink" Target="https://www.chrc-ccdp.gc.ca/resources/publications/environmental-sensitivities-and-scent-free-policies" TargetMode="External"/><Relationship Id="rId29" Type="http://schemas.openxmlformats.org/officeDocument/2006/relationships/hyperlink" Target="https://hdsunflower.com/uk/insights/post/skin-deep-not-all-disabilities-are-visible" TargetMode="External"/><Relationship Id="rId11" Type="http://schemas.openxmlformats.org/officeDocument/2006/relationships/hyperlink" Target="https://www.aerzteblatt.de/archiv/112474/Menschen-mit-Autismus-Barrierefreier-Zugang-zur-Versorgung" TargetMode="External"/><Relationship Id="rId24" Type="http://schemas.openxmlformats.org/officeDocument/2006/relationships/image" Target="media/image3.png"/><Relationship Id="rId32" Type="http://schemas.openxmlformats.org/officeDocument/2006/relationships/hyperlink" Target="https://www.mecfs.de/gesellschaftliche-kosten-von-long-covid-und-me-cfs/" TargetMode="External"/><Relationship Id="rId37" Type="http://schemas.openxmlformats.org/officeDocument/2006/relationships/hyperlink" Target="https://www.aerzteblatt.de/archiv/adhs-zu-haeufig-diagnostiziert-fe64ac95-3d99-4b6c-b80f-994078bdb646" TargetMode="External"/><Relationship Id="rId40" Type="http://schemas.openxmlformats.org/officeDocument/2006/relationships/hyperlink" Target="https://doi.org/10.1056/NEJM199801153380307" TargetMode="External"/><Relationship Id="rId45" Type="http://schemas.openxmlformats.org/officeDocument/2006/relationships/hyperlink" Target="https://www.chrc-ccdp.gc.ca/resources/publications/environmental-sensitivities-and-scent-free-policies" TargetMode="External"/><Relationship Id="rId5" Type="http://schemas.openxmlformats.org/officeDocument/2006/relationships/hyperlink" Target="https://www.dak.de/dak/unternehmen/reporte-forschung/psychreport-2025_91766" TargetMode="External"/><Relationship Id="rId15" Type="http://schemas.openxmlformats.org/officeDocument/2006/relationships/hyperlink" Target="https://www.gov.uk/government/publications/national-strategy-for-autistic-children-young-people-and-adults-2021-to-2026" TargetMode="External"/><Relationship Id="rId23" Type="http://schemas.openxmlformats.org/officeDocument/2006/relationships/hyperlink" Target="https://www.stille-stunde.com/uebrigens/20-oktober-saycor-das-community-konzept/" TargetMode="External"/><Relationship Id="rId28" Type="http://schemas.openxmlformats.org/officeDocument/2006/relationships/hyperlink" Target="https://post.parliament.uk/research-briefings/post-pn-0689/" TargetMode="External"/><Relationship Id="rId36" Type="http://schemas.openxmlformats.org/officeDocument/2006/relationships/hyperlink" Target="https://www.aerzteblatt.de/nachrichten/49712/Ueberdiagnose-von-ADHS-und-Autismus" TargetMode="External"/><Relationship Id="rId49" Type="http://schemas.openxmlformats.org/officeDocument/2006/relationships/hyperlink" Target="https://www.un.org/development/desa/disabilities/convention-on-the-rights-of-persons-with-disabilities/article-4-general-obligations.html" TargetMode="External"/><Relationship Id="rId10" Type="http://schemas.openxmlformats.org/officeDocument/2006/relationships/hyperlink" Target="https://www.vdek.com/magazin/ausgaben/2023-05/hkk-autismusfaelle-kinder-jugendliche.html" TargetMode="External"/><Relationship Id="rId19" Type="http://schemas.openxmlformats.org/officeDocument/2006/relationships/hyperlink" Target="https://www.un.org/development/desa/disabilities/convention-on-the-rights-of-persons-with-disabilities/article-4-general-obligations.html" TargetMode="External"/><Relationship Id="rId31" Type="http://schemas.openxmlformats.org/officeDocument/2006/relationships/hyperlink" Target="https://www.dak.de/dak/unternehmen/reporte-forschung/psychreport-2025_91766" TargetMode="External"/><Relationship Id="rId44" Type="http://schemas.openxmlformats.org/officeDocument/2006/relationships/hyperlink" Target="https://www.gov.uk/government/publications/national-strategy-for-autistic-children-young-people-and-adults-2021-to-2026"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dkfz.de/fileadmin/user_upload/Krebspraevention/Download/pdf/FzA/FzA_2023_Fetale-Alkoholspektrumstoerung.pdf" TargetMode="External"/><Relationship Id="rId14" Type="http://schemas.openxmlformats.org/officeDocument/2006/relationships/hyperlink" Target="https://www.scielo.br/j/sdeb/a/dSFjhk7nhNWFQ4z3RhbwRPQ/?lang=en" TargetMode="External"/><Relationship Id="rId22" Type="http://schemas.openxmlformats.org/officeDocument/2006/relationships/hyperlink" Target="https://www.stille-stunde.com/wp-content/uploads/2026/07/KONVERA_Kaskadenmodell_Suizidalitaet.pdf" TargetMode="External"/><Relationship Id="rId27" Type="http://schemas.openxmlformats.org/officeDocument/2006/relationships/hyperlink" Target="https://www.stille-stunde.com/wp-content/uploads/2026/08/Kevin-Kurth.jpeg" TargetMode="External"/><Relationship Id="rId30" Type="http://schemas.openxmlformats.org/officeDocument/2006/relationships/hyperlink" Target="https://www.destatis.de/DE/Presse/Pressemitteilungen/2024/07/PD24_281_227.html" TargetMode="External"/><Relationship Id="rId35" Type="http://schemas.openxmlformats.org/officeDocument/2006/relationships/hyperlink" Target="https://www.vdek.com/magazin/ausgaben/2023-05/hkk-autismusfaelle-kinder-jugendliche.html" TargetMode="External"/><Relationship Id="rId43" Type="http://schemas.openxmlformats.org/officeDocument/2006/relationships/hyperlink" Target="https://www.scielo.br/j/sdeb/a/dSFjhk7nhNWFQ4z3RhbwRPQ/?lang=en" TargetMode="External"/><Relationship Id="rId48" Type="http://schemas.openxmlformats.org/officeDocument/2006/relationships/hyperlink" Target="https://www.verwaltungsvorschriften-im-internet.de/bsvwvbund_21072009_O11313012.htm" TargetMode="External"/><Relationship Id="rId8" Type="http://schemas.openxmlformats.org/officeDocument/2006/relationships/hyperlink" Target="https://www.mecfs.de/gesellschaftliche-kosten-von-long-covid-und-me-cfs/"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ymodernmet.com/dutch-supermarket-slow-lanes-kletskassa/" TargetMode="External"/><Relationship Id="rId17" Type="http://schemas.openxmlformats.org/officeDocument/2006/relationships/hyperlink" Target="https://www.access-board.gov/about/policy/ffe.html" TargetMode="External"/><Relationship Id="rId25" Type="http://schemas.openxmlformats.org/officeDocument/2006/relationships/hyperlink" Target="https://www.youtube.com/watch?v=rEU4tjyHi6U" TargetMode="External"/><Relationship Id="rId33" Type="http://schemas.openxmlformats.org/officeDocument/2006/relationships/hyperlink" Target="https://www.dkfz.de/fileadmin/user_upload/Krebspraevention/Download/pdf/FzA/FzA_2023_Fetale-Alkoholspektrumstoerung.pdf" TargetMode="External"/><Relationship Id="rId38" Type="http://schemas.openxmlformats.org/officeDocument/2006/relationships/hyperlink" Target="https://doi.org/10.1186/s13229-023-00580-3" TargetMode="External"/><Relationship Id="rId46" Type="http://schemas.openxmlformats.org/officeDocument/2006/relationships/hyperlink" Target="https://www.access-board.gov/about/policy/ffe.html" TargetMode="External"/><Relationship Id="rId20" Type="http://schemas.openxmlformats.org/officeDocument/2006/relationships/image" Target="media/image1.jpg"/><Relationship Id="rId41" Type="http://schemas.openxmlformats.org/officeDocument/2006/relationships/hyperlink" Target="https://mymodernmet.com/dutch-supermarket-slow-lanes-kletskassa/" TargetMode="External"/><Relationship Id="rId1" Type="http://schemas.openxmlformats.org/officeDocument/2006/relationships/numbering" Target="numbering.xml"/><Relationship Id="rId6" Type="http://schemas.openxmlformats.org/officeDocument/2006/relationships/hyperlink" Target="https://www.dak.de/dak/unternehmen/reporte-forschung/psychreport-2025_91766" TargetMode="External"/><Relationship Id="rId53" Type="http://schemas.openxmlformats.org/officeDocument/2006/relationships/hyperlink" Target="https://www.naspro.de/dl/Broschuere-AG-Neurodivergenz.pdf"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2810</Words>
  <Characters>17703</Characters>
  <Application>Microsoft Office Word</Application>
  <DocSecurity>0</DocSecurity>
  <Lines>147</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gemeinsam zusammen e.V.</cp:lastModifiedBy>
  <cp:revision>2</cp:revision>
  <dcterms:created xsi:type="dcterms:W3CDTF">2026-08-26T18:08:00Z</dcterms:created>
  <dcterms:modified xsi:type="dcterms:W3CDTF">2026-09-03T19:10:00Z</dcterms:modified>
</cp:coreProperties>
</file>