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ABEB6" w14:textId="77777777" w:rsidR="00094C61" w:rsidRDefault="00000000">
      <w:pPr>
        <w:spacing w:before="100" w:after="60"/>
      </w:pPr>
      <w:r>
        <w:rPr>
          <w:color w:val="666666"/>
        </w:rPr>
        <w:t>KONVERA · A Module of the LIORA Model · gemeinsam zusammen e.V.</w:t>
      </w:r>
    </w:p>
    <w:p w14:paraId="4643443A" w14:textId="77777777" w:rsidR="00094C61" w:rsidRDefault="00000000">
      <w:pPr>
        <w:spacing w:before="120" w:after="80"/>
      </w:pPr>
      <w:r>
        <w:rPr>
          <w:b/>
          <w:bCs/>
          <w:color w:val="1F3864"/>
          <w:sz w:val="40"/>
          <w:szCs w:val="40"/>
        </w:rPr>
        <w:t>The KONVERA Cascade Model</w:t>
      </w:r>
    </w:p>
    <w:p w14:paraId="1D9D456E" w14:textId="77777777" w:rsidR="00094C61" w:rsidRDefault="00000000">
      <w:pPr>
        <w:spacing w:after="60"/>
      </w:pPr>
      <w:r>
        <w:rPr>
          <w:b/>
          <w:bCs/>
          <w:color w:val="2E5E9E"/>
          <w:sz w:val="28"/>
          <w:szCs w:val="28"/>
        </w:rPr>
        <w:t>Suicidality as a Possible Endpoint of Cumulative Structural Overload</w:t>
      </w:r>
    </w:p>
    <w:p w14:paraId="357D5711" w14:textId="77777777" w:rsidR="00094C61" w:rsidRDefault="00000000">
      <w:pPr>
        <w:spacing w:after="200"/>
      </w:pPr>
      <w:r>
        <w:rPr>
          <w:i/>
          <w:iCs/>
          <w:color w:val="444444"/>
          <w:sz w:val="24"/>
          <w:szCs w:val="24"/>
        </w:rPr>
        <w:t>A Thesis and Its Scientific Rationale</w:t>
      </w:r>
    </w:p>
    <w:p w14:paraId="2481F34E" w14:textId="77777777" w:rsidR="00094C61" w:rsidRDefault="00000000">
      <w:pPr>
        <w:spacing w:after="400"/>
      </w:pPr>
      <w:r>
        <w:rPr>
          <w:color w:val="666666"/>
          <w:sz w:val="20"/>
          <w:szCs w:val="20"/>
        </w:rPr>
        <w:t>Rebecca Lefèvre · gemeinsam zusammen e.V. · Initiative Stille Stunde — Making People with Invisible Disabilities Visible · March 2026</w:t>
      </w:r>
    </w:p>
    <w:p w14:paraId="285FBFCB" w14:textId="77777777" w:rsidR="00094C61" w:rsidRDefault="00000000">
      <w:pPr>
        <w:pStyle w:val="berschrift2"/>
      </w:pPr>
      <w:r>
        <w:t>The Thesis</w:t>
      </w:r>
    </w:p>
    <w:p w14:paraId="7C4D9B05" w14:textId="77777777" w:rsidR="00094C61" w:rsidRDefault="00000000">
      <w:pPr>
        <w:spacing w:before="100" w:after="140"/>
      </w:pPr>
      <w:r>
        <w:rPr>
          <w:color w:val="000000"/>
        </w:rPr>
        <w:t>For several groups of people with invisible disabilities, elevated suicidal risks are internationally documented; a substantial portion of these risks cannot be explained by diagnoses or primary pathology alone. Structural mismatch, chronic overload and failures in care are contributing factors that have so far been insufficiently considered in prevention and research.</w:t>
      </w:r>
    </w:p>
    <w:p w14:paraId="48410B92" w14:textId="77777777" w:rsidR="00094C61" w:rsidRDefault="00000000">
      <w:pPr>
        <w:spacing w:before="100" w:after="140"/>
      </w:pPr>
      <w:r>
        <w:rPr>
          <w:color w:val="000000"/>
        </w:rPr>
        <w:t>KONVERA describes how this exhaustion develops and why it can accumulate. Its central claim is that prevention should be structurally established at the beginning of the cascade — analogous to psycho-oncological care, that is, before a crisis emerges.</w:t>
      </w:r>
    </w:p>
    <w:p w14:paraId="0265CA84" w14:textId="77777777" w:rsidR="00094C61" w:rsidRDefault="00000000">
      <w:pPr>
        <w:spacing w:before="100" w:after="140"/>
      </w:pPr>
      <w:r>
        <w:rPr>
          <w:color w:val="000000"/>
        </w:rPr>
        <w:t>The model makes no claim to scientific completeness. It is a prevention-science impulse intended to extend existing prevention approaches to include structural and functional factors that have so far been insufficiently addressed.</w:t>
      </w:r>
    </w:p>
    <w:p w14:paraId="1616E1B4" w14:textId="77777777" w:rsidR="00094C61" w:rsidRDefault="00000000">
      <w:pPr>
        <w:spacing w:before="100" w:after="200"/>
      </w:pPr>
      <w:r>
        <w:rPr>
          <w:color w:val="000000"/>
        </w:rPr>
        <w:t>It is designed to provide decision-makers and prevention programmes with an evidence-informed basis for systematically incorporating relevant structural and functional factors into preventive measures.</w:t>
      </w:r>
    </w:p>
    <w:p w14:paraId="06DD6F44" w14:textId="77777777" w:rsidR="00094C61" w:rsidRDefault="00000000">
      <w:pPr>
        <w:pStyle w:val="berschrift2"/>
      </w:pPr>
      <w:r>
        <w:t>Where This Thesis Comes From</w:t>
      </w:r>
    </w:p>
    <w:p w14:paraId="78024902" w14:textId="77777777" w:rsidR="00094C61" w:rsidRDefault="00000000">
      <w:pPr>
        <w:spacing w:before="100" w:after="120"/>
      </w:pPr>
      <w:r>
        <w:rPr>
          <w:color w:val="000000"/>
        </w:rPr>
        <w:t>LIORA is a comprehensive model that identifies the systemic gap for people with invisible disabilities. KONVERA is the foundational document that describes the cascade. It emerged from three years of fieldwork — from recurring observations in conversations with people, across more than 250 municipalities, businesses, political actors, institutions, and multipliers. These observations do not constitute proof, but they do constitute a mandate for scrutiny: to situate a recurring pattern of functional overload, barrier exposure, and care gaps within a scientific framework. The initiative and the LIORA model emerged from the same space of observation.</w:t>
      </w:r>
    </w:p>
    <w:p w14:paraId="0AB7D29B" w14:textId="77777777" w:rsidR="00094C61" w:rsidRDefault="00000000">
      <w:pPr>
        <w:spacing w:before="100" w:after="200"/>
      </w:pPr>
      <w:r>
        <w:t xml:space="preserve">We formalised this pattern. We examined whether it finds scientific support. It does — with varying strength, for different groups, at different points in the cascade. The results are set out in this document. </w:t>
      </w:r>
      <w:hyperlink r:id="rId5" w:history="1">
        <w:r>
          <w:rPr>
            <w:rStyle w:val="Hyperlink"/>
            <w:color w:val="1F3864"/>
          </w:rPr>
          <w:t>www.stille-stunde.com</w:t>
        </w:r>
      </w:hyperlink>
    </w:p>
    <w:p w14:paraId="29FACFD5" w14:textId="77777777" w:rsidR="00972ECB" w:rsidRDefault="00972ECB">
      <w:pPr>
        <w:rPr>
          <w:b/>
          <w:bCs/>
          <w:color w:val="1F3864"/>
          <w:sz w:val="36"/>
          <w:szCs w:val="36"/>
        </w:rPr>
      </w:pPr>
      <w:r>
        <w:br w:type="page"/>
      </w:r>
    </w:p>
    <w:p w14:paraId="491747F8" w14:textId="4C4C663B" w:rsidR="00094C61" w:rsidRDefault="00000000">
      <w:pPr>
        <w:pStyle w:val="berschrift1"/>
      </w:pPr>
      <w:r>
        <w:lastRenderedPageBreak/>
        <w:t>I. The Model — The Cascade, Simply Explained</w:t>
      </w:r>
    </w:p>
    <w:p w14:paraId="1D30CFC2" w14:textId="77777777" w:rsidR="00094C61" w:rsidRDefault="00000000">
      <w:pPr>
        <w:spacing w:before="100" w:after="80"/>
      </w:pPr>
      <w:r>
        <w:rPr>
          <w:b/>
          <w:bCs/>
        </w:rPr>
        <w:t>What this is about, in one sentence:</w:t>
      </w:r>
    </w:p>
    <w:p w14:paraId="749F1712" w14:textId="77777777" w:rsidR="00094C61" w:rsidRDefault="00000000">
      <w:pPr>
        <w:spacing w:before="100" w:after="200"/>
        <w:ind w:left="360" w:right="360"/>
      </w:pPr>
      <w:r>
        <w:rPr>
          <w:i/>
          <w:iCs/>
        </w:rPr>
        <w:t>Anyone who lives permanently on an exhausted nervous system, in an environment that barely recognises invisible barriers and therefore pays little heed to them, and who is repeatedly missed or misunderstood by care systems, can find themselves in a situation from which no way out seems reachable — and it is precisely there that suicidal risk begins to become clinically relevant.</w:t>
      </w:r>
    </w:p>
    <w:p w14:paraId="16450654" w14:textId="77777777" w:rsidR="00094C61" w:rsidRDefault="00000000">
      <w:pPr>
        <w:pStyle w:val="berschrift3"/>
        <w:spacing w:before="280" w:after="120"/>
      </w:pPr>
      <w:r>
        <w:t>The Target Group</w:t>
      </w:r>
    </w:p>
    <w:p w14:paraId="7110707F" w14:textId="77777777" w:rsidR="00094C61" w:rsidRDefault="00000000">
      <w:pPr>
        <w:spacing w:before="100" w:after="140"/>
      </w:pPr>
      <w:r>
        <w:rPr>
          <w:color w:val="000000"/>
        </w:rPr>
        <w:t>KONVERA describes people with invisible disabilities in whom a persistent functional burden arises that is associated with heightened vulnerability to overload, gaps in care and entrapment. KONVERA does not claim an identical aetiology across the groups included, but describes comparable patterns of functional burden with similar barrier and escalation risks, given the absence of structural, non-diagnosis-based definitional terms in the prevention context.</w:t>
      </w:r>
    </w:p>
    <w:p w14:paraId="1EB8A9E1" w14:textId="77777777" w:rsidR="00094C61" w:rsidRDefault="00000000">
      <w:pPr>
        <w:spacing w:before="100" w:after="100"/>
      </w:pPr>
      <w:r>
        <w:rPr>
          <w:color w:val="000000"/>
        </w:rPr>
        <w:t>This burden can develop along two prototypical pathways: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094C61" w14:paraId="46F9562A" w14:textId="77777777">
        <w:tblPrEx>
          <w:tblCellMar>
            <w:top w:w="0" w:type="dxa"/>
            <w:bottom w:w="0" w:type="dxa"/>
          </w:tblCellMar>
        </w:tblPrEx>
        <w:tc>
          <w:tcPr>
            <w:tcW w:w="4513"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2D59EC3D" w14:textId="77777777" w:rsidR="00094C61" w:rsidRDefault="00000000">
            <w:pPr>
              <w:spacing w:before="40" w:after="40"/>
            </w:pPr>
            <w:r>
              <w:rPr>
                <w:b/>
                <w:bCs/>
                <w:color w:val="FFFFFF"/>
                <w:sz w:val="20"/>
                <w:szCs w:val="20"/>
              </w:rPr>
              <w:t>A · Congenital Vulnerability</w:t>
            </w:r>
          </w:p>
        </w:tc>
        <w:tc>
          <w:tcPr>
            <w:tcW w:w="4513"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6DC8AF48" w14:textId="77777777" w:rsidR="00094C61" w:rsidRDefault="00000000">
            <w:pPr>
              <w:spacing w:before="40" w:after="40"/>
            </w:pPr>
            <w:r>
              <w:rPr>
                <w:b/>
                <w:bCs/>
                <w:color w:val="FFFFFF"/>
                <w:sz w:val="20"/>
                <w:szCs w:val="20"/>
              </w:rPr>
              <w:t>B · Acquired Overload</w:t>
            </w:r>
          </w:p>
        </w:tc>
      </w:tr>
      <w:tr w:rsidR="00094C61" w14:paraId="7E7844D2" w14:textId="77777777">
        <w:tblPrEx>
          <w:tblCellMar>
            <w:top w:w="0" w:type="dxa"/>
            <w:bottom w:w="0" w:type="dxa"/>
          </w:tblCellMar>
        </w:tblPrEx>
        <w:tc>
          <w:tcPr>
            <w:tcW w:w="451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66B7095" w14:textId="77777777" w:rsidR="00094C61" w:rsidRDefault="00000000">
            <w:pPr>
              <w:spacing w:before="40" w:after="40"/>
            </w:pPr>
            <w:r>
              <w:rPr>
                <w:color w:val="000000"/>
                <w:sz w:val="20"/>
                <w:szCs w:val="20"/>
              </w:rPr>
              <w:t>e.g. Autism, ADHD, FASD</w:t>
            </w:r>
          </w:p>
        </w:tc>
        <w:tc>
          <w:tcPr>
            <w:tcW w:w="451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2CAF07A" w14:textId="77777777" w:rsidR="00094C61" w:rsidRDefault="00000000">
            <w:pPr>
              <w:spacing w:before="40" w:after="40"/>
            </w:pPr>
            <w:r>
              <w:rPr>
                <w:color w:val="000000"/>
                <w:sz w:val="20"/>
                <w:szCs w:val="20"/>
              </w:rPr>
              <w:t>e.g. ME/CFS, PTSD, fibromyalgia, dementia, endometriosis, chronic migraine</w:t>
            </w:r>
          </w:p>
        </w:tc>
      </w:tr>
    </w:tbl>
    <w:p w14:paraId="66F51796" w14:textId="77777777" w:rsidR="00094C61" w:rsidRDefault="00094C61"/>
    <w:p w14:paraId="6396B386" w14:textId="77777777" w:rsidR="00094C61" w:rsidRDefault="00000000">
      <w:pPr>
        <w:spacing w:before="100" w:after="160"/>
      </w:pPr>
      <w:r>
        <w:rPr>
          <w:color w:val="000000"/>
        </w:rPr>
        <w:t>Both pathways can lead to comparable patterns of functional burden. What matters is therefore not primarily the diagnosis, but whether everyday functioning is persistently impaired in daily functioning and participation — particularly in the areas of sensory regulation, executive functions, pain processing and stress tolerance.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094C61" w14:paraId="38D99B9E"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27721A4F" w14:textId="77777777" w:rsidR="00094C61" w:rsidRDefault="00000000">
            <w:pPr>
              <w:spacing w:before="40" w:after="40"/>
            </w:pPr>
            <w:r>
              <w:rPr>
                <w:b/>
                <w:bCs/>
                <w:color w:val="FFFFFF"/>
                <w:sz w:val="20"/>
                <w:szCs w:val="20"/>
              </w:rPr>
              <w:t>Axis</w:t>
            </w:r>
          </w:p>
        </w:tc>
        <w:tc>
          <w:tcPr>
            <w:tcW w:w="6826"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5F68217D" w14:textId="77777777" w:rsidR="00094C61" w:rsidRDefault="00000000">
            <w:pPr>
              <w:spacing w:before="40" w:after="40"/>
            </w:pPr>
            <w:r>
              <w:rPr>
                <w:b/>
                <w:bCs/>
                <w:color w:val="FFFFFF"/>
                <w:sz w:val="20"/>
                <w:szCs w:val="20"/>
              </w:rPr>
              <w:t>Description</w:t>
            </w:r>
          </w:p>
        </w:tc>
      </w:tr>
      <w:tr w:rsidR="00094C61" w14:paraId="13B24033"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F33C2C2" w14:textId="77777777" w:rsidR="00094C61" w:rsidRDefault="00000000">
            <w:pPr>
              <w:spacing w:before="40" w:after="40"/>
            </w:pPr>
            <w:r>
              <w:rPr>
                <w:color w:val="000000"/>
                <w:sz w:val="20"/>
                <w:szCs w:val="20"/>
              </w:rPr>
              <w:t>I · Sensory Regulation</w:t>
            </w:r>
          </w:p>
        </w:tc>
        <w:tc>
          <w:tcPr>
            <w:tcW w:w="68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FC35575" w14:textId="77777777" w:rsidR="00094C61" w:rsidRDefault="00000000">
            <w:pPr>
              <w:spacing w:before="40" w:after="40"/>
            </w:pPr>
            <w:r>
              <w:rPr>
                <w:color w:val="000000"/>
                <w:sz w:val="20"/>
                <w:szCs w:val="20"/>
              </w:rPr>
              <w:t>How the brain processes sensory signals. Under overload: hypervigilance, sensory overload, withdrawal.</w:t>
            </w:r>
          </w:p>
        </w:tc>
      </w:tr>
      <w:tr w:rsidR="00094C61" w14:paraId="144823CE"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8559E13" w14:textId="77777777" w:rsidR="00094C61" w:rsidRDefault="00000000">
            <w:pPr>
              <w:spacing w:before="40" w:after="40"/>
            </w:pPr>
            <w:r>
              <w:rPr>
                <w:color w:val="000000"/>
                <w:sz w:val="20"/>
                <w:szCs w:val="20"/>
              </w:rPr>
              <w:t>II · Executive Functions</w:t>
            </w:r>
          </w:p>
        </w:tc>
        <w:tc>
          <w:tcPr>
            <w:tcW w:w="68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79E058F" w14:textId="77777777" w:rsidR="00094C61" w:rsidRDefault="00000000">
            <w:pPr>
              <w:spacing w:before="40" w:after="40"/>
            </w:pPr>
            <w:r>
              <w:rPr>
                <w:color w:val="000000"/>
                <w:sz w:val="20"/>
                <w:szCs w:val="20"/>
              </w:rPr>
              <w:t>Planning, decision-making, action control. Under overload: paralysis, cognitive exhaustion.</w:t>
            </w:r>
          </w:p>
        </w:tc>
      </w:tr>
      <w:tr w:rsidR="00094C61" w14:paraId="5A43955A"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E925C0C" w14:textId="77777777" w:rsidR="00094C61" w:rsidRDefault="00000000">
            <w:pPr>
              <w:spacing w:before="40" w:after="40"/>
            </w:pPr>
            <w:r>
              <w:rPr>
                <w:color w:val="000000"/>
                <w:sz w:val="20"/>
                <w:szCs w:val="20"/>
              </w:rPr>
              <w:t>III · Pain Processing</w:t>
            </w:r>
          </w:p>
        </w:tc>
        <w:tc>
          <w:tcPr>
            <w:tcW w:w="68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FE1F367" w14:textId="77777777" w:rsidR="00094C61" w:rsidRDefault="00000000">
            <w:pPr>
              <w:spacing w:before="40" w:after="40"/>
            </w:pPr>
            <w:r>
              <w:rPr>
                <w:color w:val="000000"/>
                <w:sz w:val="20"/>
                <w:szCs w:val="20"/>
              </w:rPr>
              <w:t>Chronic pain lowers thresholds and prevents recovery. An independent suicide risk factor.</w:t>
            </w:r>
          </w:p>
        </w:tc>
      </w:tr>
      <w:tr w:rsidR="00094C61" w14:paraId="40DDEAC1"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DC57CDA" w14:textId="77777777" w:rsidR="00094C61" w:rsidRDefault="00000000">
            <w:pPr>
              <w:spacing w:before="40" w:after="40"/>
            </w:pPr>
            <w:r>
              <w:rPr>
                <w:color w:val="000000"/>
                <w:sz w:val="20"/>
                <w:szCs w:val="20"/>
              </w:rPr>
              <w:t>IV · Stress Tolerance</w:t>
            </w:r>
          </w:p>
        </w:tc>
        <w:tc>
          <w:tcPr>
            <w:tcW w:w="68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C53AB42" w14:textId="77777777" w:rsidR="00094C61" w:rsidRDefault="00000000">
            <w:pPr>
              <w:spacing w:before="40" w:after="40"/>
            </w:pPr>
            <w:r>
              <w:rPr>
                <w:color w:val="000000"/>
                <w:sz w:val="20"/>
                <w:szCs w:val="20"/>
              </w:rPr>
              <w:t>Regulatory capacity under load. Amplifies the cascade when recovery is persistently absent.</w:t>
            </w:r>
          </w:p>
        </w:tc>
      </w:tr>
    </w:tbl>
    <w:p w14:paraId="1C83B78C" w14:textId="77777777" w:rsidR="00094C61" w:rsidRDefault="00094C61"/>
    <w:p w14:paraId="042529A4" w14:textId="77777777" w:rsidR="00094C61" w:rsidRDefault="00000000">
      <w:pPr>
        <w:spacing w:before="100" w:after="200"/>
      </w:pPr>
      <w:r>
        <w:rPr>
          <w:color w:val="000000"/>
        </w:rPr>
        <w:t>This functional definition is a prevention-oriented working framework: what matters is the persistent combination of functional burden, barrier exposure and vulnerability to gaps in care. Inequality does not negate the obligation to act structurally; rather, prevention and accessibility should be directed precisely at protecting vulnerable groups.</w:t>
      </w:r>
    </w:p>
    <w:p w14:paraId="0AEF06E9" w14:textId="77777777" w:rsidR="00972ECB" w:rsidRDefault="00972ECB">
      <w:pPr>
        <w:rPr>
          <w:b/>
          <w:bCs/>
          <w:color w:val="1F3864"/>
          <w:sz w:val="28"/>
          <w:szCs w:val="28"/>
        </w:rPr>
      </w:pPr>
      <w:r>
        <w:br w:type="page"/>
      </w:r>
    </w:p>
    <w:p w14:paraId="20BB1966" w14:textId="4660CEEC" w:rsidR="00094C61" w:rsidRDefault="00000000">
      <w:pPr>
        <w:pStyle w:val="berschrift2"/>
      </w:pPr>
      <w:r>
        <w:lastRenderedPageBreak/>
        <w:t>The Cascade</w:t>
      </w:r>
    </w:p>
    <w:p w14:paraId="44CA26F6" w14:textId="77777777" w:rsidR="00094C61" w:rsidRDefault="00000000">
      <w:pPr>
        <w:spacing w:before="200" w:after="60"/>
      </w:pPr>
      <w:r>
        <w:rPr>
          <w:b/>
          <w:bCs/>
          <w:color w:val="C0392B"/>
          <w:sz w:val="24"/>
          <w:szCs w:val="24"/>
        </w:rPr>
        <w:t>Stage 1</w:t>
      </w:r>
    </w:p>
    <w:p w14:paraId="1A457B18" w14:textId="77777777" w:rsidR="00094C61" w:rsidRDefault="00000000">
      <w:pPr>
        <w:spacing w:after="120"/>
      </w:pPr>
      <w:r>
        <w:rPr>
          <w:b/>
          <w:bCs/>
          <w:color w:val="1F3864"/>
          <w:sz w:val="24"/>
          <w:szCs w:val="24"/>
        </w:rPr>
        <w:t>Invisible Barriers Prevent Recovery</w:t>
      </w:r>
    </w:p>
    <w:p w14:paraId="76900562" w14:textId="77777777" w:rsidR="00094C61" w:rsidRDefault="00000000">
      <w:pPr>
        <w:spacing w:before="100" w:after="140"/>
      </w:pPr>
      <w:r>
        <w:rPr>
          <w:color w:val="000000"/>
        </w:rPr>
        <w:t>In KONVERA, invisible barriers refer to sensory (visual, gustatory, olfactory, auditory, tactile, kinaesthetic), chemical (e.g. indoor pollutants/VOCs, cleaning agents, contrast media, environmental toxins), communicative (e.g. expected or complex communication, information density, changing contact persons) and social (e.g. routines, proximity, lack of withdrawal options, stigma, lack of credibility) demands or environmental conditions that reliably trigger or amplify functional overload or prevent recovery, without being recognised as classic barriers.</w:t>
      </w:r>
    </w:p>
    <w:p w14:paraId="0E2B6D40" w14:textId="77777777" w:rsidR="00094C61" w:rsidRDefault="00000000">
      <w:pPr>
        <w:spacing w:before="100" w:after="120"/>
      </w:pPr>
      <w:r>
        <w:rPr>
          <w:color w:val="000000"/>
        </w:rPr>
        <w:t>These barriers act daily on all four axes. They are not visible, but their effects are measurable: those who cannot recover accumulate burden. Allostatic load — the biological price of chronic stress exposure — rises.</w:t>
      </w:r>
    </w:p>
    <w:p w14:paraId="330AF243" w14:textId="77777777" w:rsidR="00094C61" w:rsidRDefault="00000000">
      <w:pPr>
        <w:spacing w:before="100" w:after="200"/>
      </w:pPr>
      <w:r>
        <w:rPr>
          <w:i/>
          <w:iCs/>
        </w:rPr>
        <w:t>McEwen 1998, NEJM · Na et al. 2025, JAMA Psychiatry</w:t>
      </w:r>
    </w:p>
    <w:p w14:paraId="45FCCF27" w14:textId="77777777" w:rsidR="00094C61" w:rsidRDefault="00000000">
      <w:pPr>
        <w:spacing w:before="200" w:after="60"/>
      </w:pPr>
      <w:r>
        <w:rPr>
          <w:b/>
          <w:bCs/>
          <w:color w:val="C0392B"/>
          <w:sz w:val="24"/>
          <w:szCs w:val="24"/>
        </w:rPr>
        <w:t>Stage 2</w:t>
      </w:r>
    </w:p>
    <w:p w14:paraId="0EA3EAB4" w14:textId="77777777" w:rsidR="00094C61" w:rsidRDefault="00000000">
      <w:pPr>
        <w:spacing w:after="120"/>
      </w:pPr>
      <w:r>
        <w:rPr>
          <w:b/>
          <w:bCs/>
          <w:color w:val="1F3864"/>
          <w:sz w:val="24"/>
          <w:szCs w:val="24"/>
        </w:rPr>
        <w:t>The Exhaustion Becomes Biological</w:t>
      </w:r>
    </w:p>
    <w:p w14:paraId="416FC592" w14:textId="77777777" w:rsidR="00094C61" w:rsidRDefault="00000000">
      <w:pPr>
        <w:spacing w:before="100" w:after="140"/>
      </w:pPr>
      <w:r>
        <w:rPr>
          <w:color w:val="000000"/>
        </w:rPr>
        <w:t>Chronic burden can influence biological stress and inflammatory processes. For KONVERA, this serves as plausibilisation of individual cascade links, not as proof of the model.</w:t>
      </w:r>
    </w:p>
    <w:p w14:paraId="77FB4522" w14:textId="77777777" w:rsidR="00094C61" w:rsidRDefault="00000000">
      <w:pPr>
        <w:spacing w:before="100" w:after="120"/>
      </w:pPr>
      <w:r>
        <w:rPr>
          <w:color w:val="000000"/>
        </w:rPr>
        <w:t>Biological processes here are possible co-mediators — not evidence of the overall model, but a supplementary contextualisation of individual burden dynamics.</w:t>
      </w:r>
    </w:p>
    <w:p w14:paraId="7D98140C" w14:textId="77777777" w:rsidR="00094C61" w:rsidRDefault="00000000">
      <w:pPr>
        <w:spacing w:before="100" w:after="200"/>
      </w:pPr>
      <w:r>
        <w:rPr>
          <w:i/>
          <w:iCs/>
        </w:rPr>
        <w:t>Slavich &amp; Irwin 2014, Psychological Bulletin · Miller &amp; Raison 2016, Nature Reviews Immunology</w:t>
      </w:r>
    </w:p>
    <w:p w14:paraId="4E460360" w14:textId="77777777" w:rsidR="00094C61" w:rsidRDefault="00000000">
      <w:pPr>
        <w:spacing w:before="200" w:after="60"/>
      </w:pPr>
      <w:r>
        <w:rPr>
          <w:b/>
          <w:bCs/>
          <w:color w:val="C0392B"/>
          <w:sz w:val="24"/>
          <w:szCs w:val="24"/>
        </w:rPr>
        <w:t>Stage 3</w:t>
      </w:r>
    </w:p>
    <w:p w14:paraId="6EFC4CD1" w14:textId="77777777" w:rsidR="00094C61" w:rsidRDefault="00000000">
      <w:pPr>
        <w:spacing w:after="120"/>
      </w:pPr>
      <w:r>
        <w:rPr>
          <w:b/>
          <w:bCs/>
          <w:color w:val="1F3864"/>
          <w:sz w:val="24"/>
          <w:szCs w:val="24"/>
        </w:rPr>
        <w:t>Mental Health Consequences Emerge or Intensify</w:t>
      </w:r>
    </w:p>
    <w:p w14:paraId="601BF10C" w14:textId="77777777" w:rsidR="00094C61" w:rsidRDefault="00000000">
      <w:pPr>
        <w:spacing w:before="100" w:after="120"/>
      </w:pPr>
      <w:r>
        <w:rPr>
          <w:color w:val="000000"/>
        </w:rPr>
        <w:t>Mental health symptoms and disorders can exist primarily in these groups and can also be intensified or co-determined by persistent overload, invalidation and care gaps; KONVERA does not describe an alternative to psychiatry, but an additional, modifiable level of prevention. The model does not aim to replace medical treatment, but supplements existing clinical approaches with a structural prevention perspective.</w:t>
      </w:r>
    </w:p>
    <w:p w14:paraId="2AFB549E" w14:textId="77777777" w:rsidR="00094C61" w:rsidRDefault="00000000">
      <w:pPr>
        <w:spacing w:before="100" w:after="200"/>
      </w:pPr>
      <w:r>
        <w:rPr>
          <w:i/>
          <w:iCs/>
        </w:rPr>
        <w:t>Diemer et al. 2025, Autism Research</w:t>
      </w:r>
    </w:p>
    <w:p w14:paraId="06EA0386" w14:textId="77777777" w:rsidR="00094C61" w:rsidRDefault="00000000">
      <w:pPr>
        <w:spacing w:before="200" w:after="60"/>
      </w:pPr>
      <w:r>
        <w:rPr>
          <w:b/>
          <w:bCs/>
          <w:color w:val="C0392B"/>
          <w:sz w:val="24"/>
          <w:szCs w:val="24"/>
        </w:rPr>
        <w:t>Stage 4</w:t>
      </w:r>
    </w:p>
    <w:p w14:paraId="5A95E227" w14:textId="77777777" w:rsidR="00094C61" w:rsidRDefault="00000000">
      <w:pPr>
        <w:spacing w:after="120"/>
      </w:pPr>
      <w:r>
        <w:rPr>
          <w:b/>
          <w:bCs/>
          <w:color w:val="1F3864"/>
          <w:sz w:val="24"/>
          <w:szCs w:val="24"/>
        </w:rPr>
        <w:t>Structural Entrapment Develops</w:t>
      </w:r>
    </w:p>
    <w:p w14:paraId="4311CE08" w14:textId="77777777" w:rsidR="00094C61" w:rsidRDefault="00000000">
      <w:pPr>
        <w:spacing w:before="100" w:after="120"/>
      </w:pPr>
      <w:r>
        <w:rPr>
          <w:color w:val="000000"/>
        </w:rPr>
        <w:t>When care collapses, participation diminishes, and calls for help are met with incomprehension, a real sense of inescapability arises. Not as a cognitive error — but as an actual situation. Suicide research calls this entrapment and identifies it as a central trigger of suicidal ideation. KONVERA transfers this concept to constellations in which real barriers to care, communication and participation can co-shape the experience of hopelessness.</w:t>
      </w:r>
    </w:p>
    <w:p w14:paraId="1D19D6E9" w14:textId="77777777" w:rsidR="00094C61" w:rsidRDefault="00000000">
      <w:pPr>
        <w:spacing w:before="80" w:after="120"/>
        <w:ind w:left="360" w:right="360"/>
      </w:pPr>
      <w:r>
        <w:rPr>
          <w:i/>
          <w:iCs/>
          <w:color w:val="444444"/>
        </w:rPr>
        <w:t>This transfer shifts the focus from a purely psychological experience to its structural co-determinants — a conceptual extension that requires empirical validation and is named here as such.</w:t>
      </w:r>
    </w:p>
    <w:p w14:paraId="03565F7F" w14:textId="77777777" w:rsidR="00094C61" w:rsidRDefault="00000000">
      <w:pPr>
        <w:spacing w:before="100" w:after="120"/>
      </w:pPr>
      <w:r>
        <w:rPr>
          <w:color w:val="000000"/>
        </w:rPr>
        <w:t>The direct measurement of institutional barriers as triggers of entrapment has not yet been fully established. This is the central open research question of the model.</w:t>
      </w:r>
    </w:p>
    <w:p w14:paraId="239A3D1E" w14:textId="77777777" w:rsidR="00094C61" w:rsidRDefault="00000000">
      <w:pPr>
        <w:spacing w:before="100" w:after="200"/>
      </w:pPr>
      <w:r>
        <w:rPr>
          <w:i/>
          <w:iCs/>
        </w:rPr>
        <w:t>O'Connor &amp; Kirtley 2018, Phil Trans Royal Society B · Joiner 2005 · Melzer et al. 2024</w:t>
      </w:r>
    </w:p>
    <w:p w14:paraId="6F27614A" w14:textId="77777777" w:rsidR="00094C61" w:rsidRDefault="00000000">
      <w:pPr>
        <w:spacing w:before="200" w:after="60"/>
      </w:pPr>
      <w:r>
        <w:rPr>
          <w:b/>
          <w:bCs/>
          <w:color w:val="C0392B"/>
          <w:sz w:val="24"/>
          <w:szCs w:val="24"/>
        </w:rPr>
        <w:lastRenderedPageBreak/>
        <w:t>Endpoint</w:t>
      </w:r>
    </w:p>
    <w:p w14:paraId="54CC5954" w14:textId="77777777" w:rsidR="00094C61" w:rsidRDefault="00000000">
      <w:pPr>
        <w:spacing w:after="120"/>
      </w:pPr>
      <w:r>
        <w:rPr>
          <w:b/>
          <w:bCs/>
          <w:color w:val="1F3864"/>
          <w:sz w:val="24"/>
          <w:szCs w:val="24"/>
        </w:rPr>
        <w:t>Suicidality as a Possible Cascade Endpoint</w:t>
      </w:r>
    </w:p>
    <w:p w14:paraId="3E8BD8B0" w14:textId="77777777" w:rsidR="00094C61" w:rsidRDefault="00000000">
      <w:pPr>
        <w:spacing w:before="100" w:after="200"/>
      </w:pPr>
      <w:r>
        <w:rPr>
          <w:color w:val="000000"/>
        </w:rPr>
        <w:t>Not necessarily the starting point, but in many constellations a possible endpoint of cumulative overload. Reached because intervention did not occur at several earlier stages. Elevated suicide risks are internationally documented for several of these groups. KONVERA interprets this risk as a possible endpoint of a cascade that could have been interrupted at modifiable points.</w:t>
      </w:r>
    </w:p>
    <w:p w14:paraId="1604A45E" w14:textId="77777777" w:rsidR="00094C61" w:rsidRDefault="00000000">
      <w:pPr>
        <w:pStyle w:val="berschrift1"/>
      </w:pPr>
      <w:r>
        <w:t>II. What the Science Says</w:t>
      </w:r>
    </w:p>
    <w:p w14:paraId="4B22681D" w14:textId="77777777" w:rsidR="00094C61" w:rsidRDefault="00000000">
      <w:pPr>
        <w:spacing w:before="100" w:after="200"/>
      </w:pPr>
      <w:r>
        <w:rPr>
          <w:color w:val="000000"/>
        </w:rPr>
        <w:t>The cascade has not been fully empirically validated — that would not be realistic for such a wide-ranging explanatory model. What exists: robust evidence for individual links, international evidence of elevated risks in the target groups, and established theoretical models that KONVERA directly connects to.</w:t>
      </w:r>
    </w:p>
    <w:p w14:paraId="020102B2" w14:textId="77777777" w:rsidR="00094C61" w:rsidRDefault="00000000">
      <w:pPr>
        <w:pStyle w:val="berschrift2"/>
      </w:pPr>
      <w:r>
        <w:t>Theoretical Foundations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3500"/>
        <w:gridCol w:w="3526"/>
      </w:tblGrid>
      <w:tr w:rsidR="00094C61" w14:paraId="070A5176" w14:textId="77777777">
        <w:tblPrEx>
          <w:tblCellMar>
            <w:top w:w="0" w:type="dxa"/>
            <w:bottom w:w="0" w:type="dxa"/>
          </w:tblCellMar>
        </w:tblPrEx>
        <w:tc>
          <w:tcPr>
            <w:tcW w:w="20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7BD11830" w14:textId="77777777" w:rsidR="00094C61" w:rsidRDefault="00000000">
            <w:pPr>
              <w:spacing w:before="40" w:after="40"/>
            </w:pPr>
            <w:r>
              <w:rPr>
                <w:b/>
                <w:bCs/>
                <w:color w:val="FFFFFF"/>
                <w:sz w:val="20"/>
                <w:szCs w:val="20"/>
              </w:rPr>
              <w:t>Model</w:t>
            </w:r>
          </w:p>
        </w:tc>
        <w:tc>
          <w:tcPr>
            <w:tcW w:w="35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1F99EC1E" w14:textId="77777777" w:rsidR="00094C61" w:rsidRDefault="00000000">
            <w:pPr>
              <w:spacing w:before="40" w:after="40"/>
            </w:pPr>
            <w:r>
              <w:rPr>
                <w:b/>
                <w:bCs/>
                <w:color w:val="FFFFFF"/>
                <w:sz w:val="20"/>
                <w:szCs w:val="20"/>
              </w:rPr>
              <w:t>Core</w:t>
            </w:r>
          </w:p>
        </w:tc>
        <w:tc>
          <w:tcPr>
            <w:tcW w:w="3526"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6F03FCE8" w14:textId="77777777" w:rsidR="00094C61" w:rsidRDefault="00000000">
            <w:pPr>
              <w:spacing w:before="40" w:after="40"/>
            </w:pPr>
            <w:r>
              <w:rPr>
                <w:b/>
                <w:bCs/>
                <w:color w:val="FFFFFF"/>
                <w:sz w:val="20"/>
                <w:szCs w:val="20"/>
              </w:rPr>
              <w:t>Connection to KONVERA</w:t>
            </w:r>
          </w:p>
        </w:tc>
      </w:tr>
      <w:tr w:rsidR="00094C61" w14:paraId="49CCD7BB" w14:textId="77777777">
        <w:tblPrEx>
          <w:tblCellMar>
            <w:top w:w="0" w:type="dxa"/>
            <w:bottom w:w="0" w:type="dxa"/>
          </w:tblCellMar>
        </w:tblPrEx>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E3D50A" w14:textId="77777777" w:rsidR="00094C61" w:rsidRDefault="00000000">
            <w:pPr>
              <w:spacing w:before="40" w:after="40"/>
            </w:pPr>
            <w:r>
              <w:rPr>
                <w:color w:val="000000"/>
                <w:sz w:val="20"/>
                <w:szCs w:val="20"/>
              </w:rPr>
              <w:t>IMV Model</w:t>
            </w:r>
          </w:p>
        </w:tc>
        <w:tc>
          <w:tcPr>
            <w:tcW w:w="3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C70AAD1" w14:textId="77777777" w:rsidR="00094C61" w:rsidRDefault="00000000">
            <w:pPr>
              <w:spacing w:before="40" w:after="40"/>
            </w:pPr>
            <w:r>
              <w:rPr>
                <w:color w:val="000000"/>
                <w:sz w:val="20"/>
                <w:szCs w:val="20"/>
              </w:rPr>
              <w:t>O'Connor &amp; Kirtley 2018: Entrapment is the central mechanism of suicidal motivation.</w:t>
            </w:r>
          </w:p>
        </w:tc>
        <w:tc>
          <w:tcPr>
            <w:tcW w:w="35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955C0A8" w14:textId="77777777" w:rsidR="00094C61" w:rsidRDefault="00000000">
            <w:pPr>
              <w:spacing w:before="40" w:after="40"/>
            </w:pPr>
            <w:r>
              <w:rPr>
                <w:color w:val="000000"/>
                <w:sz w:val="20"/>
                <w:szCs w:val="20"/>
              </w:rPr>
              <w:t>KONVERA describes the structural conditions under which entrapment develops.</w:t>
            </w:r>
          </w:p>
        </w:tc>
      </w:tr>
      <w:tr w:rsidR="00094C61" w14:paraId="4B43ADC8" w14:textId="77777777">
        <w:tblPrEx>
          <w:tblCellMar>
            <w:top w:w="0" w:type="dxa"/>
            <w:bottom w:w="0" w:type="dxa"/>
          </w:tblCellMar>
        </w:tblPrEx>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27CED96" w14:textId="77777777" w:rsidR="00094C61" w:rsidRDefault="00000000">
            <w:pPr>
              <w:spacing w:before="40" w:after="40"/>
            </w:pPr>
            <w:r>
              <w:rPr>
                <w:color w:val="000000"/>
                <w:sz w:val="20"/>
                <w:szCs w:val="20"/>
              </w:rPr>
              <w:t>Interpersonal Theory</w:t>
            </w:r>
          </w:p>
        </w:tc>
        <w:tc>
          <w:tcPr>
            <w:tcW w:w="3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DB3665E" w14:textId="77777777" w:rsidR="00094C61" w:rsidRDefault="00000000">
            <w:pPr>
              <w:spacing w:before="40" w:after="40"/>
            </w:pPr>
            <w:r>
              <w:rPr>
                <w:color w:val="000000"/>
                <w:sz w:val="20"/>
                <w:szCs w:val="20"/>
              </w:rPr>
              <w:t>Joiner 2005: Loss of belonging and perceived burdensomeness drive suicidal desire.</w:t>
            </w:r>
          </w:p>
        </w:tc>
        <w:tc>
          <w:tcPr>
            <w:tcW w:w="35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66AD395" w14:textId="77777777" w:rsidR="00094C61" w:rsidRDefault="00000000">
            <w:pPr>
              <w:spacing w:before="40" w:after="40"/>
            </w:pPr>
            <w:r>
              <w:rPr>
                <w:color w:val="000000"/>
                <w:sz w:val="20"/>
                <w:szCs w:val="20"/>
              </w:rPr>
              <w:t>Both arise here through systemic misfit — not primarily psychologically.</w:t>
            </w:r>
          </w:p>
        </w:tc>
      </w:tr>
      <w:tr w:rsidR="00094C61" w14:paraId="2DCCF742" w14:textId="77777777">
        <w:tblPrEx>
          <w:tblCellMar>
            <w:top w:w="0" w:type="dxa"/>
            <w:bottom w:w="0" w:type="dxa"/>
          </w:tblCellMar>
        </w:tblPrEx>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E6EA366" w14:textId="77777777" w:rsidR="00094C61" w:rsidRDefault="00000000">
            <w:pPr>
              <w:spacing w:before="40" w:after="40"/>
            </w:pPr>
            <w:r>
              <w:rPr>
                <w:color w:val="000000"/>
                <w:sz w:val="20"/>
                <w:szCs w:val="20"/>
              </w:rPr>
              <w:t>Allostatic Load</w:t>
            </w:r>
          </w:p>
        </w:tc>
        <w:tc>
          <w:tcPr>
            <w:tcW w:w="3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57F86C6" w14:textId="77777777" w:rsidR="00094C61" w:rsidRDefault="00000000">
            <w:pPr>
              <w:spacing w:before="40" w:after="40"/>
            </w:pPr>
            <w:r>
              <w:rPr>
                <w:color w:val="000000"/>
                <w:sz w:val="20"/>
                <w:szCs w:val="20"/>
              </w:rPr>
              <w:t>McEwen 1998: Chronic stress has measurable biological costs.</w:t>
            </w:r>
          </w:p>
        </w:tc>
        <w:tc>
          <w:tcPr>
            <w:tcW w:w="35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8624A66" w14:textId="77777777" w:rsidR="00094C61" w:rsidRDefault="00000000">
            <w:pPr>
              <w:spacing w:before="40" w:after="40"/>
            </w:pPr>
            <w:r>
              <w:rPr>
                <w:color w:val="000000"/>
                <w:sz w:val="20"/>
                <w:szCs w:val="20"/>
              </w:rPr>
              <w:t>Invisible barriers are biologically relevant stressors.</w:t>
            </w:r>
          </w:p>
        </w:tc>
      </w:tr>
      <w:tr w:rsidR="00094C61" w14:paraId="5274537F" w14:textId="77777777">
        <w:tblPrEx>
          <w:tblCellMar>
            <w:top w:w="0" w:type="dxa"/>
            <w:bottom w:w="0" w:type="dxa"/>
          </w:tblCellMar>
        </w:tblPrEx>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B366E67" w14:textId="77777777" w:rsidR="00094C61" w:rsidRDefault="00000000">
            <w:pPr>
              <w:spacing w:before="40" w:after="40"/>
            </w:pPr>
            <w:r>
              <w:rPr>
                <w:color w:val="000000"/>
                <w:sz w:val="20"/>
                <w:szCs w:val="20"/>
              </w:rPr>
              <w:t>WHO LIVE LIFE</w:t>
            </w:r>
          </w:p>
        </w:tc>
        <w:tc>
          <w:tcPr>
            <w:tcW w:w="3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2362D92" w14:textId="77777777" w:rsidR="00094C61" w:rsidRDefault="00000000">
            <w:pPr>
              <w:spacing w:before="40" w:after="40"/>
            </w:pPr>
            <w:r>
              <w:rPr>
                <w:color w:val="000000"/>
                <w:sz w:val="20"/>
                <w:szCs w:val="20"/>
              </w:rPr>
              <w:t>WHO 2021: Suicide prevention is multisectoral — not only acute psychiatry.</w:t>
            </w:r>
          </w:p>
        </w:tc>
        <w:tc>
          <w:tcPr>
            <w:tcW w:w="35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37F372B" w14:textId="77777777" w:rsidR="00094C61" w:rsidRDefault="00000000">
            <w:pPr>
              <w:spacing w:before="40" w:after="40"/>
            </w:pPr>
            <w:r>
              <w:rPr>
                <w:color w:val="000000"/>
                <w:sz w:val="20"/>
                <w:szCs w:val="20"/>
              </w:rPr>
              <w:t>KONVERA operationalises this claim for barrier-exposed groups.</w:t>
            </w:r>
          </w:p>
        </w:tc>
      </w:tr>
    </w:tbl>
    <w:p w14:paraId="53B41809" w14:textId="77777777" w:rsidR="00094C61" w:rsidRDefault="00094C61"/>
    <w:p w14:paraId="3F0AF67F" w14:textId="77777777" w:rsidR="00094C61" w:rsidRDefault="00000000">
      <w:pPr>
        <w:pStyle w:val="berschrift2"/>
      </w:pPr>
      <w:r>
        <w:t>Empirical Evidence — by Group</w:t>
      </w:r>
    </w:p>
    <w:p w14:paraId="229F4F30" w14:textId="77777777" w:rsidR="00094C61" w:rsidRDefault="00000000">
      <w:pPr>
        <w:spacing w:before="100" w:after="160"/>
      </w:pPr>
      <w:r>
        <w:rPr>
          <w:color w:val="000000"/>
        </w:rPr>
        <w:t>The evidence is asymmetric: strong for neurodivergent groups, convergently plausible for others. This asymmetry is part of the model — and one of the reasons why further research is needed.</w:t>
      </w:r>
    </w:p>
    <w:p w14:paraId="54ADB13D" w14:textId="77777777" w:rsidR="00094C61" w:rsidRDefault="00000000">
      <w:pPr>
        <w:pStyle w:val="berschrift3"/>
        <w:spacing w:before="280" w:after="120"/>
      </w:pPr>
      <w:r>
        <w:t>Neurodivergent Profiles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5000"/>
        <w:gridCol w:w="2226"/>
      </w:tblGrid>
      <w:tr w:rsidR="00094C61" w14:paraId="3CC8D575"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267551F8" w14:textId="77777777" w:rsidR="00094C61" w:rsidRDefault="00000000">
            <w:pPr>
              <w:spacing w:before="40" w:after="40"/>
            </w:pPr>
            <w:r>
              <w:rPr>
                <w:b/>
                <w:bCs/>
                <w:color w:val="FFFFFF"/>
                <w:sz w:val="20"/>
                <w:szCs w:val="20"/>
              </w:rPr>
              <w:t>Group</w:t>
            </w:r>
          </w:p>
        </w:tc>
        <w:tc>
          <w:tcPr>
            <w:tcW w:w="50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7DD664A4" w14:textId="77777777" w:rsidR="00094C61" w:rsidRDefault="00000000">
            <w:pPr>
              <w:spacing w:before="40" w:after="40"/>
            </w:pPr>
            <w:r>
              <w:rPr>
                <w:b/>
                <w:bCs/>
                <w:color w:val="FFFFFF"/>
                <w:sz w:val="20"/>
                <w:szCs w:val="20"/>
              </w:rPr>
              <w:t>Finding</w:t>
            </w:r>
          </w:p>
        </w:tc>
        <w:tc>
          <w:tcPr>
            <w:tcW w:w="2226"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24DFE7B5" w14:textId="77777777" w:rsidR="00094C61" w:rsidRDefault="00000000">
            <w:pPr>
              <w:spacing w:before="40" w:after="40"/>
            </w:pPr>
            <w:r>
              <w:rPr>
                <w:b/>
                <w:bCs/>
                <w:color w:val="FFFFFF"/>
                <w:sz w:val="20"/>
                <w:szCs w:val="20"/>
              </w:rPr>
              <w:t>Source</w:t>
            </w:r>
          </w:p>
        </w:tc>
      </w:tr>
      <w:tr w:rsidR="00094C61" w14:paraId="7869061F"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FB1C703" w14:textId="77777777" w:rsidR="00094C61" w:rsidRDefault="00000000">
            <w:pPr>
              <w:spacing w:before="40" w:after="40"/>
            </w:pPr>
            <w:r>
              <w:rPr>
                <w:color w:val="000000"/>
                <w:sz w:val="20"/>
                <w:szCs w:val="20"/>
              </w:rPr>
              <w:t>Autism</w:t>
            </w:r>
          </w:p>
        </w:tc>
        <w:tc>
          <w:tcPr>
            <w:tcW w:w="5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22CB24D" w14:textId="77777777" w:rsidR="00094C61" w:rsidRDefault="00000000">
            <w:pPr>
              <w:spacing w:before="40" w:after="40"/>
            </w:pPr>
            <w:r>
              <w:rPr>
                <w:color w:val="000000"/>
                <w:sz w:val="20"/>
                <w:szCs w:val="20"/>
              </w:rPr>
              <w:t>Markedly elevated suicide mortality; overrepresentation among suicide deaths</w:t>
            </w:r>
          </w:p>
        </w:tc>
        <w:tc>
          <w:tcPr>
            <w:tcW w:w="22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7C129AF" w14:textId="77777777" w:rsidR="00094C61" w:rsidRDefault="00000000">
            <w:pPr>
              <w:spacing w:before="40" w:after="40"/>
            </w:pPr>
            <w:r>
              <w:rPr>
                <w:color w:val="000000"/>
                <w:sz w:val="20"/>
                <w:szCs w:val="20"/>
              </w:rPr>
              <w:t>Hirvikoski 2016 · Santomauro 2024</w:t>
            </w:r>
          </w:p>
        </w:tc>
      </w:tr>
      <w:tr w:rsidR="00094C61" w14:paraId="077D0187"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01CD483" w14:textId="77777777" w:rsidR="00094C61" w:rsidRDefault="00000000">
            <w:pPr>
              <w:spacing w:before="40" w:after="40"/>
            </w:pPr>
            <w:r>
              <w:rPr>
                <w:color w:val="000000"/>
                <w:sz w:val="20"/>
                <w:szCs w:val="20"/>
              </w:rPr>
              <w:t>Autism (youth)</w:t>
            </w:r>
          </w:p>
        </w:tc>
        <w:tc>
          <w:tcPr>
            <w:tcW w:w="5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D118C2B" w14:textId="77777777" w:rsidR="00094C61" w:rsidRDefault="00000000">
            <w:pPr>
              <w:spacing w:before="40" w:after="40"/>
            </w:pPr>
            <w:r>
              <w:rPr>
                <w:color w:val="000000"/>
                <w:sz w:val="20"/>
                <w:szCs w:val="20"/>
              </w:rPr>
              <w:t>Approx. 25% suicidal ideation, approx. 8% attempts (meta-analysis)</w:t>
            </w:r>
          </w:p>
        </w:tc>
        <w:tc>
          <w:tcPr>
            <w:tcW w:w="22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53B1AB9" w14:textId="77777777" w:rsidR="00094C61" w:rsidRDefault="00000000">
            <w:pPr>
              <w:spacing w:before="40" w:after="40"/>
            </w:pPr>
            <w:r>
              <w:rPr>
                <w:color w:val="000000"/>
                <w:sz w:val="20"/>
                <w:szCs w:val="20"/>
              </w:rPr>
              <w:t>O'Halloran 2022</w:t>
            </w:r>
          </w:p>
        </w:tc>
      </w:tr>
      <w:tr w:rsidR="00094C61" w14:paraId="1A65B728"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1B0551C" w14:textId="77777777" w:rsidR="00094C61" w:rsidRDefault="00000000">
            <w:pPr>
              <w:spacing w:before="40" w:after="40"/>
            </w:pPr>
            <w:r>
              <w:rPr>
                <w:color w:val="000000"/>
                <w:sz w:val="20"/>
                <w:szCs w:val="20"/>
              </w:rPr>
              <w:t>ADHD</w:t>
            </w:r>
          </w:p>
        </w:tc>
        <w:tc>
          <w:tcPr>
            <w:tcW w:w="5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4BDEE6F" w14:textId="77777777" w:rsidR="00094C61" w:rsidRDefault="00000000">
            <w:pPr>
              <w:spacing w:before="40" w:after="40"/>
            </w:pPr>
            <w:r>
              <w:rPr>
                <w:color w:val="000000"/>
                <w:sz w:val="20"/>
                <w:szCs w:val="20"/>
              </w:rPr>
              <w:t>High-certainty evidence; treatment measurably reduces risk</w:t>
            </w:r>
          </w:p>
        </w:tc>
        <w:tc>
          <w:tcPr>
            <w:tcW w:w="22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570FB4E" w14:textId="77777777" w:rsidR="00094C61" w:rsidRDefault="00000000">
            <w:pPr>
              <w:spacing w:before="40" w:after="40"/>
            </w:pPr>
            <w:r>
              <w:rPr>
                <w:color w:val="000000"/>
                <w:sz w:val="20"/>
                <w:szCs w:val="20"/>
              </w:rPr>
              <w:t>Kang 2024 · Zhang 2025, BMJ</w:t>
            </w:r>
          </w:p>
        </w:tc>
      </w:tr>
      <w:tr w:rsidR="00094C61" w14:paraId="5C0AE079"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B302883" w14:textId="77777777" w:rsidR="00094C61" w:rsidRDefault="00000000">
            <w:pPr>
              <w:spacing w:before="40" w:after="40"/>
            </w:pPr>
            <w:r>
              <w:rPr>
                <w:color w:val="000000"/>
                <w:sz w:val="20"/>
                <w:szCs w:val="20"/>
              </w:rPr>
              <w:lastRenderedPageBreak/>
              <w:t>FASD</w:t>
            </w:r>
          </w:p>
        </w:tc>
        <w:tc>
          <w:tcPr>
            <w:tcW w:w="5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18EFF29" w14:textId="77777777" w:rsidR="00094C61" w:rsidRDefault="00000000">
            <w:pPr>
              <w:spacing w:before="40" w:after="40"/>
            </w:pPr>
            <w:r>
              <w:rPr>
                <w:color w:val="000000"/>
                <w:sz w:val="20"/>
                <w:szCs w:val="20"/>
              </w:rPr>
              <w:t>High rates of suicidal ideation; median life expectancy approx. 34 years</w:t>
            </w:r>
          </w:p>
        </w:tc>
        <w:tc>
          <w:tcPr>
            <w:tcW w:w="22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DF8C01" w14:textId="77777777" w:rsidR="00094C61" w:rsidRDefault="00000000">
            <w:pPr>
              <w:spacing w:before="40" w:after="40"/>
            </w:pPr>
            <w:r>
              <w:rPr>
                <w:color w:val="000000"/>
                <w:sz w:val="20"/>
                <w:szCs w:val="20"/>
              </w:rPr>
              <w:t>O'Connor 2019</w:t>
            </w:r>
          </w:p>
        </w:tc>
      </w:tr>
    </w:tbl>
    <w:p w14:paraId="28526131" w14:textId="77777777" w:rsidR="00094C61" w:rsidRDefault="00094C61"/>
    <w:p w14:paraId="7B676977" w14:textId="77777777" w:rsidR="00094C61" w:rsidRDefault="00000000">
      <w:pPr>
        <w:pStyle w:val="berschrift3"/>
        <w:spacing w:before="280" w:after="120"/>
      </w:pPr>
      <w:r>
        <w:t>Chronic Conditions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5000"/>
        <w:gridCol w:w="2226"/>
      </w:tblGrid>
      <w:tr w:rsidR="00094C61" w14:paraId="28B5FC05"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4946042C" w14:textId="77777777" w:rsidR="00094C61" w:rsidRDefault="00000000">
            <w:pPr>
              <w:spacing w:before="40" w:after="40"/>
            </w:pPr>
            <w:r>
              <w:rPr>
                <w:b/>
                <w:bCs/>
                <w:color w:val="FFFFFF"/>
                <w:sz w:val="20"/>
                <w:szCs w:val="20"/>
              </w:rPr>
              <w:t>Group</w:t>
            </w:r>
          </w:p>
        </w:tc>
        <w:tc>
          <w:tcPr>
            <w:tcW w:w="50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1E1AF543" w14:textId="77777777" w:rsidR="00094C61" w:rsidRDefault="00000000">
            <w:pPr>
              <w:spacing w:before="40" w:after="40"/>
            </w:pPr>
            <w:r>
              <w:rPr>
                <w:b/>
                <w:bCs/>
                <w:color w:val="FFFFFF"/>
                <w:sz w:val="20"/>
                <w:szCs w:val="20"/>
              </w:rPr>
              <w:t>Finding</w:t>
            </w:r>
          </w:p>
        </w:tc>
        <w:tc>
          <w:tcPr>
            <w:tcW w:w="2226"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0B3FC6B0" w14:textId="77777777" w:rsidR="00094C61" w:rsidRDefault="00000000">
            <w:pPr>
              <w:spacing w:before="40" w:after="40"/>
            </w:pPr>
            <w:r>
              <w:rPr>
                <w:b/>
                <w:bCs/>
                <w:color w:val="FFFFFF"/>
                <w:sz w:val="20"/>
                <w:szCs w:val="20"/>
              </w:rPr>
              <w:t>Source</w:t>
            </w:r>
          </w:p>
        </w:tc>
      </w:tr>
      <w:tr w:rsidR="00094C61" w14:paraId="0C8089AC"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8921A7D" w14:textId="77777777" w:rsidR="00094C61" w:rsidRDefault="00000000">
            <w:pPr>
              <w:spacing w:before="40" w:after="40"/>
            </w:pPr>
            <w:r>
              <w:rPr>
                <w:color w:val="000000"/>
                <w:sz w:val="20"/>
                <w:szCs w:val="20"/>
              </w:rPr>
              <w:t>ME/CFS</w:t>
            </w:r>
          </w:p>
        </w:tc>
        <w:tc>
          <w:tcPr>
            <w:tcW w:w="5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80F22F9" w14:textId="77777777" w:rsidR="00094C61" w:rsidRDefault="00000000">
            <w:pPr>
              <w:spacing w:before="40" w:after="40"/>
            </w:pPr>
            <w:r>
              <w:rPr>
                <w:color w:val="000000"/>
                <w:sz w:val="20"/>
                <w:szCs w:val="20"/>
              </w:rPr>
              <w:t>39.3% suicidal ideation; suicide as a relevant cause of death</w:t>
            </w:r>
          </w:p>
        </w:tc>
        <w:tc>
          <w:tcPr>
            <w:tcW w:w="22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7BD8413" w14:textId="77777777" w:rsidR="00094C61" w:rsidRDefault="00000000">
            <w:pPr>
              <w:spacing w:before="40" w:after="40"/>
            </w:pPr>
            <w:r>
              <w:rPr>
                <w:color w:val="000000"/>
                <w:sz w:val="20"/>
                <w:szCs w:val="20"/>
              </w:rPr>
              <w:t>König 2024 · Johnson 2022</w:t>
            </w:r>
          </w:p>
        </w:tc>
      </w:tr>
      <w:tr w:rsidR="00094C61" w14:paraId="136C76A6"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A2E4AE0" w14:textId="77777777" w:rsidR="00094C61" w:rsidRDefault="00000000">
            <w:pPr>
              <w:spacing w:before="40" w:after="40"/>
            </w:pPr>
            <w:r>
              <w:rPr>
                <w:color w:val="000000"/>
                <w:sz w:val="20"/>
                <w:szCs w:val="20"/>
              </w:rPr>
              <w:t>Epilepsy</w:t>
            </w:r>
          </w:p>
        </w:tc>
        <w:tc>
          <w:tcPr>
            <w:tcW w:w="5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CFB407B" w14:textId="77777777" w:rsidR="00094C61" w:rsidRDefault="00000000">
            <w:pPr>
              <w:spacing w:before="40" w:after="40"/>
            </w:pPr>
            <w:r>
              <w:rPr>
                <w:color w:val="000000"/>
                <w:sz w:val="20"/>
                <w:szCs w:val="20"/>
              </w:rPr>
              <w:t>Significantly elevated risk (meta-analysis)</w:t>
            </w:r>
          </w:p>
        </w:tc>
        <w:tc>
          <w:tcPr>
            <w:tcW w:w="22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DE55EA3" w14:textId="77777777" w:rsidR="00094C61" w:rsidRDefault="00000000">
            <w:pPr>
              <w:spacing w:before="40" w:after="40"/>
            </w:pPr>
            <w:r>
              <w:rPr>
                <w:color w:val="000000"/>
                <w:sz w:val="20"/>
                <w:szCs w:val="20"/>
              </w:rPr>
              <w:t>Rafati 2025</w:t>
            </w:r>
          </w:p>
        </w:tc>
      </w:tr>
      <w:tr w:rsidR="00094C61" w14:paraId="6831F88F"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3107347" w14:textId="77777777" w:rsidR="00094C61" w:rsidRDefault="00000000">
            <w:pPr>
              <w:spacing w:before="40" w:after="40"/>
            </w:pPr>
            <w:r>
              <w:rPr>
                <w:color w:val="000000"/>
                <w:sz w:val="20"/>
                <w:szCs w:val="20"/>
              </w:rPr>
              <w:t>Chronic pain</w:t>
            </w:r>
          </w:p>
        </w:tc>
        <w:tc>
          <w:tcPr>
            <w:tcW w:w="5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2354BD" w14:textId="77777777" w:rsidR="00094C61" w:rsidRDefault="00000000">
            <w:pPr>
              <w:spacing w:before="40" w:after="40"/>
            </w:pPr>
            <w:r>
              <w:rPr>
                <w:color w:val="000000"/>
                <w:sz w:val="20"/>
                <w:szCs w:val="20"/>
              </w:rPr>
              <w:t>Independent suicide risk factor regardless of diagnosis</w:t>
            </w:r>
          </w:p>
        </w:tc>
        <w:tc>
          <w:tcPr>
            <w:tcW w:w="22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B76D0B9" w14:textId="77777777" w:rsidR="00094C61" w:rsidRDefault="00000000">
            <w:pPr>
              <w:spacing w:before="40" w:after="40"/>
            </w:pPr>
            <w:r>
              <w:rPr>
                <w:color w:val="000000"/>
                <w:sz w:val="20"/>
                <w:szCs w:val="20"/>
              </w:rPr>
              <w:t>Racine 2018</w:t>
            </w:r>
          </w:p>
        </w:tc>
      </w:tr>
      <w:tr w:rsidR="00094C61" w14:paraId="369FBD46"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0197E5B" w14:textId="77777777" w:rsidR="00094C61" w:rsidRDefault="00000000">
            <w:pPr>
              <w:spacing w:before="40" w:after="40"/>
            </w:pPr>
            <w:r>
              <w:rPr>
                <w:color w:val="000000"/>
                <w:sz w:val="20"/>
                <w:szCs w:val="20"/>
              </w:rPr>
              <w:t>Long COVID</w:t>
            </w:r>
          </w:p>
        </w:tc>
        <w:tc>
          <w:tcPr>
            <w:tcW w:w="5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D11654A" w14:textId="77777777" w:rsidR="00094C61" w:rsidRDefault="00000000">
            <w:pPr>
              <w:spacing w:before="40" w:after="40"/>
            </w:pPr>
            <w:r>
              <w:rPr>
                <w:color w:val="000000"/>
                <w:sz w:val="20"/>
                <w:szCs w:val="20"/>
              </w:rPr>
              <w:t>Depression, anxiety, suicidal tendency as outcomes</w:t>
            </w:r>
          </w:p>
        </w:tc>
        <w:tc>
          <w:tcPr>
            <w:tcW w:w="22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F67A7DE" w14:textId="77777777" w:rsidR="00094C61" w:rsidRDefault="00000000">
            <w:pPr>
              <w:spacing w:before="40" w:after="40"/>
            </w:pPr>
            <w:r>
              <w:rPr>
                <w:color w:val="000000"/>
                <w:sz w:val="20"/>
                <w:szCs w:val="20"/>
              </w:rPr>
              <w:t>Bidhendi-Yarandi 2025</w:t>
            </w:r>
          </w:p>
        </w:tc>
      </w:tr>
      <w:tr w:rsidR="00094C61" w14:paraId="708FF79A"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92D072A" w14:textId="77777777" w:rsidR="00094C61" w:rsidRDefault="00000000">
            <w:pPr>
              <w:spacing w:before="40" w:after="40"/>
            </w:pPr>
            <w:r>
              <w:rPr>
                <w:color w:val="000000"/>
                <w:sz w:val="20"/>
                <w:szCs w:val="20"/>
              </w:rPr>
              <w:t>Endometriosis</w:t>
            </w:r>
          </w:p>
        </w:tc>
        <w:tc>
          <w:tcPr>
            <w:tcW w:w="5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F789CD7" w14:textId="77777777" w:rsidR="00094C61" w:rsidRDefault="00000000">
            <w:pPr>
              <w:spacing w:before="40" w:after="40"/>
            </w:pPr>
            <w:r>
              <w:rPr>
                <w:color w:val="000000"/>
                <w:sz w:val="20"/>
                <w:szCs w:val="20"/>
              </w:rPr>
              <w:t>Elevated rates of mental illness, particularly depression and anxiety disorders (population-based study); direct suicide mortality has not yet been separately assessed</w:t>
            </w:r>
          </w:p>
        </w:tc>
        <w:tc>
          <w:tcPr>
            <w:tcW w:w="22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125C1FE" w14:textId="77777777" w:rsidR="00094C61" w:rsidRDefault="00000000">
            <w:pPr>
              <w:spacing w:before="40" w:after="40"/>
            </w:pPr>
            <w:r>
              <w:rPr>
                <w:color w:val="000000"/>
                <w:sz w:val="20"/>
                <w:szCs w:val="20"/>
              </w:rPr>
              <w:t>Thiel 2024</w:t>
            </w:r>
          </w:p>
        </w:tc>
      </w:tr>
    </w:tbl>
    <w:p w14:paraId="5E1AAFFA" w14:textId="77777777" w:rsidR="00094C61" w:rsidRDefault="00094C61"/>
    <w:p w14:paraId="40DDEC5A" w14:textId="77777777" w:rsidR="00094C61" w:rsidRDefault="00000000">
      <w:pPr>
        <w:spacing w:before="80" w:after="160"/>
      </w:pPr>
      <w:r>
        <w:rPr>
          <w:b/>
          <w:bCs/>
          <w:color w:val="666666"/>
          <w:sz w:val="20"/>
          <w:szCs w:val="20"/>
        </w:rPr>
        <w:t xml:space="preserve">Note: </w:t>
      </w:r>
      <w:r>
        <w:rPr>
          <w:i/>
          <w:iCs/>
          <w:color w:val="666666"/>
          <w:sz w:val="20"/>
          <w:szCs w:val="20"/>
        </w:rPr>
        <w:t>No studies on suicide mortality in endometriosis are currently available. The elevated mental illness burden should be understood as an indirect risk factor within the cascade.</w:t>
      </w:r>
    </w:p>
    <w:p w14:paraId="1CC10D11" w14:textId="77777777" w:rsidR="00094C61" w:rsidRDefault="00000000">
      <w:pPr>
        <w:pStyle w:val="berschrift3"/>
        <w:spacing w:before="280" w:after="120"/>
      </w:pPr>
      <w:r>
        <w:t>Structural Level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4500"/>
        <w:gridCol w:w="2526"/>
      </w:tblGrid>
      <w:tr w:rsidR="00094C61" w14:paraId="522C259C" w14:textId="77777777">
        <w:tblPrEx>
          <w:tblCellMar>
            <w:top w:w="0" w:type="dxa"/>
            <w:bottom w:w="0" w:type="dxa"/>
          </w:tblCellMar>
        </w:tblPrEx>
        <w:tc>
          <w:tcPr>
            <w:tcW w:w="20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351F0CE2" w14:textId="77777777" w:rsidR="00094C61" w:rsidRDefault="00000000">
            <w:pPr>
              <w:spacing w:before="40" w:after="40"/>
            </w:pPr>
            <w:r>
              <w:rPr>
                <w:b/>
                <w:bCs/>
                <w:color w:val="FFFFFF"/>
                <w:sz w:val="20"/>
                <w:szCs w:val="20"/>
              </w:rPr>
              <w:t>Group</w:t>
            </w:r>
          </w:p>
        </w:tc>
        <w:tc>
          <w:tcPr>
            <w:tcW w:w="45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033E0D6D" w14:textId="77777777" w:rsidR="00094C61" w:rsidRDefault="00000000">
            <w:pPr>
              <w:spacing w:before="40" w:after="40"/>
            </w:pPr>
            <w:r>
              <w:rPr>
                <w:b/>
                <w:bCs/>
                <w:color w:val="FFFFFF"/>
                <w:sz w:val="20"/>
                <w:szCs w:val="20"/>
              </w:rPr>
              <w:t>Finding</w:t>
            </w:r>
          </w:p>
        </w:tc>
        <w:tc>
          <w:tcPr>
            <w:tcW w:w="2526"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7E95C178" w14:textId="77777777" w:rsidR="00094C61" w:rsidRDefault="00000000">
            <w:pPr>
              <w:spacing w:before="40" w:after="40"/>
            </w:pPr>
            <w:r>
              <w:rPr>
                <w:b/>
                <w:bCs/>
                <w:color w:val="FFFFFF"/>
                <w:sz w:val="20"/>
                <w:szCs w:val="20"/>
              </w:rPr>
              <w:t>Source</w:t>
            </w:r>
          </w:p>
        </w:tc>
      </w:tr>
      <w:tr w:rsidR="00094C61" w14:paraId="72767264" w14:textId="77777777">
        <w:tblPrEx>
          <w:tblCellMar>
            <w:top w:w="0" w:type="dxa"/>
            <w:bottom w:w="0" w:type="dxa"/>
          </w:tblCellMar>
        </w:tblPrEx>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ABBC99" w14:textId="77777777" w:rsidR="00094C61" w:rsidRDefault="00000000">
            <w:pPr>
              <w:spacing w:before="40" w:after="40"/>
            </w:pPr>
            <w:r>
              <w:rPr>
                <w:color w:val="000000"/>
                <w:sz w:val="20"/>
                <w:szCs w:val="20"/>
              </w:rPr>
              <w:t>Exclusion, care breakdowns</w:t>
            </w:r>
          </w:p>
        </w:tc>
        <w:tc>
          <w:tcPr>
            <w:tcW w:w="4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16EF4C7" w14:textId="77777777" w:rsidR="00094C61" w:rsidRDefault="00000000">
            <w:pPr>
              <w:spacing w:before="40" w:after="40"/>
            </w:pPr>
            <w:r>
              <w:rPr>
                <w:color w:val="000000"/>
                <w:sz w:val="20"/>
                <w:szCs w:val="20"/>
              </w:rPr>
              <w:t>Social exclusion and care breakdowns as social determinants show a large, consistent effect on suicidality (50+ studies) — invisible barriers as a sub-form of these determinants can thus be plausibly situated within this framework, though not directly measured.</w:t>
            </w:r>
          </w:p>
        </w:tc>
        <w:tc>
          <w:tcPr>
            <w:tcW w:w="25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8B13CCD" w14:textId="77777777" w:rsidR="00094C61" w:rsidRDefault="00000000">
            <w:pPr>
              <w:spacing w:before="40" w:after="40"/>
            </w:pPr>
            <w:r>
              <w:rPr>
                <w:color w:val="000000"/>
                <w:sz w:val="20"/>
                <w:szCs w:val="20"/>
              </w:rPr>
              <w:t>Na et al. 2025, JAMA Psychiatry</w:t>
            </w:r>
          </w:p>
        </w:tc>
      </w:tr>
      <w:tr w:rsidR="00094C61" w14:paraId="154AF4E7" w14:textId="77777777">
        <w:tblPrEx>
          <w:tblCellMar>
            <w:top w:w="0" w:type="dxa"/>
            <w:bottom w:w="0" w:type="dxa"/>
          </w:tblCellMar>
        </w:tblPrEx>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50F5213" w14:textId="77777777" w:rsidR="00094C61" w:rsidRDefault="00000000">
            <w:pPr>
              <w:spacing w:before="40" w:after="40"/>
            </w:pPr>
            <w:r>
              <w:rPr>
                <w:color w:val="000000"/>
                <w:sz w:val="20"/>
                <w:szCs w:val="20"/>
              </w:rPr>
              <w:t>Care barriers — Autism</w:t>
            </w:r>
          </w:p>
        </w:tc>
        <w:tc>
          <w:tcPr>
            <w:tcW w:w="4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7CC8462" w14:textId="77777777" w:rsidR="00094C61" w:rsidRDefault="00000000">
            <w:pPr>
              <w:spacing w:before="40" w:after="40"/>
            </w:pPr>
            <w:r>
              <w:rPr>
                <w:color w:val="000000"/>
                <w:sz w:val="20"/>
                <w:szCs w:val="20"/>
              </w:rPr>
              <w:t>Care avoidance and misinterpretation as risk factors</w:t>
            </w:r>
          </w:p>
        </w:tc>
        <w:tc>
          <w:tcPr>
            <w:tcW w:w="25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BFF8980" w14:textId="77777777" w:rsidR="00094C61" w:rsidRDefault="00000000">
            <w:pPr>
              <w:spacing w:before="40" w:after="40"/>
            </w:pPr>
            <w:r>
              <w:rPr>
                <w:color w:val="000000"/>
                <w:sz w:val="20"/>
                <w:szCs w:val="20"/>
              </w:rPr>
              <w:t>Doherty 2022 · Raymaker 2017</w:t>
            </w:r>
          </w:p>
        </w:tc>
      </w:tr>
    </w:tbl>
    <w:p w14:paraId="77A21011" w14:textId="77777777" w:rsidR="00094C61" w:rsidRDefault="00094C61"/>
    <w:p w14:paraId="1F4F4753" w14:textId="31E9A8DF" w:rsidR="00094C61" w:rsidRPr="00972ECB" w:rsidRDefault="00000000" w:rsidP="00972ECB">
      <w:pPr>
        <w:rPr>
          <w:b/>
          <w:bCs/>
          <w:color w:val="1F3864"/>
          <w:sz w:val="36"/>
          <w:szCs w:val="36"/>
        </w:rPr>
      </w:pPr>
      <w:r>
        <w:rPr>
          <w:b/>
          <w:bCs/>
          <w:color w:val="1F3864"/>
          <w:sz w:val="36"/>
          <w:szCs w:val="36"/>
        </w:rPr>
        <w:t>III. What We Do Not Know</w:t>
      </w:r>
    </w:p>
    <w:p w14:paraId="3F700B40" w14:textId="77777777" w:rsidR="00094C61" w:rsidRDefault="00000000">
      <w:pPr>
        <w:spacing w:before="100" w:after="160"/>
      </w:pPr>
      <w:r>
        <w:rPr>
          <w:color w:val="000000"/>
        </w:rPr>
        <w:t>The cascade has not yet been validated longitudinally as a complete trajectory; the four burden axes are a prevention-oriented working heuristic, not an externally validated structure. For certain groups — particularly autism and ADHD — the suicide-specific evidence is considerably stronger than for others, and the direct measurement of institutional barriers as triggers of structural entrapment also remains insufficient. KONVERA therefore claims no complete proof, but marks a serious research and prevention dimension that must be further examined.</w:t>
      </w:r>
    </w:p>
    <w:p w14:paraId="486C76C2" w14:textId="77777777" w:rsidR="00094C61" w:rsidRDefault="00000000">
      <w:pPr>
        <w:spacing w:before="120" w:after="200"/>
        <w:ind w:left="360" w:right="360"/>
      </w:pPr>
      <w:r>
        <w:rPr>
          <w:b/>
          <w:bCs/>
          <w:color w:val="1F3864"/>
        </w:rPr>
        <w:t>The relationships described here require further empirical examination; however, the existing evidence is sufficient to justify no longer excluding this dimension from prevention and care.</w:t>
      </w:r>
    </w:p>
    <w:p w14:paraId="0414C885" w14:textId="77777777" w:rsidR="00094C61" w:rsidRDefault="00000000">
      <w:pPr>
        <w:pStyle w:val="berschrift1"/>
      </w:pPr>
      <w:r>
        <w:lastRenderedPageBreak/>
        <w:t>IV. What Follows If the Thesis Holds</w:t>
      </w:r>
    </w:p>
    <w:p w14:paraId="2C5D5A34" w14:textId="77777777" w:rsidR="00094C61" w:rsidRDefault="00000000">
      <w:pPr>
        <w:spacing w:before="100" w:after="140"/>
      </w:pPr>
      <w:r>
        <w:rPr>
          <w:color w:val="000000"/>
        </w:rPr>
        <w:t>If structural misfit triggers the cascade — then prevention is possible where the misfit originates. Not only in the acute crisis.</w:t>
      </w:r>
    </w:p>
    <w:p w14:paraId="145A4619" w14:textId="77777777" w:rsidR="00094C61" w:rsidRDefault="00000000">
      <w:pPr>
        <w:spacing w:before="100" w:after="140"/>
      </w:pPr>
      <w:r>
        <w:rPr>
          <w:color w:val="000000"/>
        </w:rPr>
        <w:t>The prevention logic that follows from KONVERA resembles the structure of psycho-oncology: it does not intervene only at the crisis endpoint, but accompanies elevated burden situations early, interdisciplinarily and continuously. The analogy to psycho-oncology refers to the logic of early, accompanying and interdisciplinary support — not to an equation of evidence levels or disease mechanisms. The aim is to preventively reduce overload, isolation, misinterpretation and care breakdowns before suicidal dynamics consolidate.</w:t>
      </w:r>
    </w:p>
    <w:p w14:paraId="663FF250" w14:textId="77777777" w:rsidR="00094C61" w:rsidRDefault="00000000">
      <w:pPr>
        <w:spacing w:before="100" w:after="160"/>
      </w:pPr>
      <w:r>
        <w:rPr>
          <w:color w:val="000000"/>
        </w:rPr>
        <w:t>All prevention, counselling and crisis services must be designed linguistically, communicatively, sensorially and organisationally to be accessible and effective for people with atypical language processing, literal interpretation, reduced tolerance for ambiguity, or elevated communicative vulnerability.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026"/>
      </w:tblGrid>
      <w:tr w:rsidR="00094C61" w14:paraId="145F9674"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3E3FE0F9" w14:textId="77777777" w:rsidR="00094C61" w:rsidRDefault="00000000">
            <w:pPr>
              <w:spacing w:before="40" w:after="40"/>
            </w:pPr>
            <w:r>
              <w:rPr>
                <w:b/>
                <w:bCs/>
                <w:color w:val="FFFFFF"/>
                <w:sz w:val="20"/>
                <w:szCs w:val="20"/>
              </w:rPr>
              <w:t>Lever</w:t>
            </w:r>
          </w:p>
        </w:tc>
        <w:tc>
          <w:tcPr>
            <w:tcW w:w="6026"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33A6783D" w14:textId="77777777" w:rsidR="00094C61" w:rsidRDefault="00000000">
            <w:pPr>
              <w:spacing w:before="40" w:after="40"/>
            </w:pPr>
            <w:r>
              <w:rPr>
                <w:b/>
                <w:bCs/>
                <w:color w:val="FFFFFF"/>
                <w:sz w:val="20"/>
                <w:szCs w:val="20"/>
              </w:rPr>
              <w:t>Implication</w:t>
            </w:r>
          </w:p>
        </w:tc>
      </w:tr>
      <w:tr w:rsidR="00094C61" w14:paraId="1F050AD2"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21B8EE6" w14:textId="77777777" w:rsidR="00094C61" w:rsidRDefault="00000000">
            <w:pPr>
              <w:spacing w:before="40" w:after="40"/>
            </w:pPr>
            <w:r>
              <w:rPr>
                <w:color w:val="000000"/>
                <w:sz w:val="20"/>
                <w:szCs w:val="20"/>
              </w:rPr>
              <w:t>Barrier reduction in care settings</w:t>
            </w:r>
          </w:p>
        </w:tc>
        <w:tc>
          <w:tcPr>
            <w:tcW w:w="60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645CE37" w14:textId="77777777" w:rsidR="00094C61" w:rsidRDefault="00000000">
            <w:pPr>
              <w:spacing w:before="40" w:after="40"/>
            </w:pPr>
            <w:r>
              <w:rPr>
                <w:color w:val="000000"/>
                <w:sz w:val="20"/>
                <w:szCs w:val="20"/>
              </w:rPr>
              <w:t>Sensory-reduced, communicatively adapted clinics, practices and public offices can reduce treatment dropout and mitigate cascade trajectories. No overarching structural strategy currently exists for removing invisible barriers in this area.</w:t>
            </w:r>
          </w:p>
        </w:tc>
      </w:tr>
      <w:tr w:rsidR="00094C61" w14:paraId="23852F2D"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7CD0EA" w14:textId="77777777" w:rsidR="00094C61" w:rsidRDefault="00000000">
            <w:pPr>
              <w:spacing w:before="40" w:after="40"/>
            </w:pPr>
            <w:r>
              <w:rPr>
                <w:color w:val="000000"/>
                <w:sz w:val="20"/>
                <w:szCs w:val="20"/>
              </w:rPr>
              <w:t>Earlier functional recognition</w:t>
            </w:r>
          </w:p>
        </w:tc>
        <w:tc>
          <w:tcPr>
            <w:tcW w:w="60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2676472" w14:textId="77777777" w:rsidR="00094C61" w:rsidRDefault="00000000">
            <w:pPr>
              <w:spacing w:before="40" w:after="40"/>
            </w:pPr>
            <w:r>
              <w:rPr>
                <w:color w:val="000000"/>
                <w:sz w:val="20"/>
                <w:szCs w:val="20"/>
              </w:rPr>
              <w:t>Early detection of functional overload, precise diagnostics and burden-sensitive contextualisation enable interventions before chronification, social withdrawal and suicidal escalation.</w:t>
            </w:r>
          </w:p>
        </w:tc>
      </w:tr>
      <w:tr w:rsidR="00094C61" w14:paraId="2B015D88"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76F88F2" w14:textId="77777777" w:rsidR="00094C61" w:rsidRDefault="00000000">
            <w:pPr>
              <w:spacing w:before="40" w:after="40"/>
            </w:pPr>
            <w:r>
              <w:rPr>
                <w:color w:val="000000"/>
                <w:sz w:val="20"/>
                <w:szCs w:val="20"/>
              </w:rPr>
              <w:t>Entrapment reduction as a prevention goal</w:t>
            </w:r>
          </w:p>
        </w:tc>
        <w:tc>
          <w:tcPr>
            <w:tcW w:w="60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CE57D37" w14:textId="77777777" w:rsidR="00094C61" w:rsidRDefault="00000000">
            <w:pPr>
              <w:spacing w:before="40" w:after="40"/>
            </w:pPr>
            <w:r>
              <w:rPr>
                <w:color w:val="000000"/>
                <w:sz w:val="20"/>
                <w:szCs w:val="20"/>
              </w:rPr>
              <w:t>Case management, adapted communication and assumption of coordination tasks can help reduce structurally co-determined entrapment.</w:t>
            </w:r>
          </w:p>
        </w:tc>
      </w:tr>
      <w:tr w:rsidR="00094C61" w14:paraId="4D874033"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E6DE6DF" w14:textId="77777777" w:rsidR="00094C61" w:rsidRDefault="00000000">
            <w:pPr>
              <w:spacing w:before="40" w:after="40"/>
            </w:pPr>
            <w:r>
              <w:rPr>
                <w:color w:val="000000"/>
                <w:sz w:val="20"/>
                <w:szCs w:val="20"/>
              </w:rPr>
              <w:t>Predictability as a protective factor</w:t>
            </w:r>
          </w:p>
        </w:tc>
        <w:tc>
          <w:tcPr>
            <w:tcW w:w="60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93EE942" w14:textId="77777777" w:rsidR="00094C61" w:rsidRDefault="00000000">
            <w:pPr>
              <w:spacing w:before="40" w:after="40"/>
            </w:pPr>
            <w:r>
              <w:rPr>
                <w:color w:val="000000"/>
                <w:sz w:val="20"/>
                <w:szCs w:val="20"/>
              </w:rPr>
              <w:t>Routines, sensory reduction, asynchronous access pathways and clear processes are pragmatic, setting-specific adaptations with potentially high preventive relevance.</w:t>
            </w:r>
          </w:p>
        </w:tc>
      </w:tr>
      <w:tr w:rsidR="00094C61" w14:paraId="698FB400"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8B6B958" w14:textId="77777777" w:rsidR="00094C61" w:rsidRDefault="00000000">
            <w:pPr>
              <w:spacing w:before="40" w:after="40"/>
            </w:pPr>
            <w:r>
              <w:rPr>
                <w:color w:val="000000"/>
                <w:sz w:val="20"/>
                <w:szCs w:val="20"/>
              </w:rPr>
              <w:t>Communication-sensitive prevention</w:t>
            </w:r>
          </w:p>
        </w:tc>
        <w:tc>
          <w:tcPr>
            <w:tcW w:w="60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4F1567B" w14:textId="77777777" w:rsidR="00094C61" w:rsidRDefault="00000000">
            <w:pPr>
              <w:spacing w:before="40" w:after="40"/>
            </w:pPr>
            <w:r>
              <w:rPr>
                <w:color w:val="000000"/>
                <w:sz w:val="20"/>
                <w:szCs w:val="20"/>
              </w:rPr>
              <w:t>Prevention, counselling and crisis services must be linguistically, sensorially and organisationally designed to be effectively accessible for people with particular language processing needs or elevated communicative load.</w:t>
            </w:r>
          </w:p>
        </w:tc>
      </w:tr>
      <w:tr w:rsidR="00094C61" w14:paraId="0177B74D"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8F965DA" w14:textId="77777777" w:rsidR="00094C61" w:rsidRDefault="00000000">
            <w:pPr>
              <w:spacing w:before="40" w:after="40"/>
            </w:pPr>
            <w:r>
              <w:rPr>
                <w:color w:val="000000"/>
                <w:sz w:val="20"/>
                <w:szCs w:val="20"/>
              </w:rPr>
              <w:t>Suicide Prevention as a Cross-Sector Responsibility</w:t>
            </w:r>
          </w:p>
        </w:tc>
        <w:tc>
          <w:tcPr>
            <w:tcW w:w="60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2C52DB8" w14:textId="77777777" w:rsidR="00094C61" w:rsidRDefault="00000000">
            <w:pPr>
              <w:spacing w:before="40" w:after="40"/>
            </w:pPr>
            <w:r>
              <w:rPr>
                <w:color w:val="000000"/>
                <w:sz w:val="20"/>
                <w:szCs w:val="20"/>
              </w:rPr>
              <w:t>Accessibility for invisible disabilities is not merely a matter of comfort, but in certain constellations a health-critical protective dimension.</w:t>
            </w:r>
          </w:p>
        </w:tc>
      </w:tr>
    </w:tbl>
    <w:p w14:paraId="68BFB513" w14:textId="77777777" w:rsidR="00094C61" w:rsidRDefault="00094C61"/>
    <w:p w14:paraId="1D928B46" w14:textId="77777777" w:rsidR="00094C61" w:rsidRDefault="00000000">
      <w:pPr>
        <w:spacing w:before="360" w:after="160"/>
      </w:pPr>
      <w:r>
        <w:rPr>
          <w:b/>
          <w:bCs/>
          <w:color w:val="1F3864"/>
          <w:sz w:val="32"/>
          <w:szCs w:val="32"/>
        </w:rPr>
        <w:t>Conclusion</w:t>
      </w:r>
    </w:p>
    <w:p w14:paraId="19F5B48E" w14:textId="77777777" w:rsidR="00094C61" w:rsidRDefault="00000000">
      <w:pPr>
        <w:spacing w:before="100" w:after="140"/>
      </w:pPr>
      <w:r>
        <w:rPr>
          <w:color w:val="000000"/>
        </w:rPr>
        <w:t>The removal of invisible barriers and structural prevention are preventively relevant factors in suicide prevention — because they address modifiable conditions within the cascade, not only its endpoint. KONVERA marks a prevention dimension that has so far been insufficiently considered, is scientifically plausible and empirically testable — formulated from observation, supported by research that backs individual model links. KONVERA does not reduce suicidality to structural factors, but highlights a previously underaddressed, modifiable dimension within a multifactorial process.</w:t>
      </w:r>
    </w:p>
    <w:p w14:paraId="021C60F0" w14:textId="77777777" w:rsidR="00094C61" w:rsidRDefault="00000000">
      <w:pPr>
        <w:spacing w:before="100" w:after="300"/>
      </w:pPr>
      <w:r>
        <w:rPr>
          <w:color w:val="000000"/>
        </w:rPr>
        <w:lastRenderedPageBreak/>
        <w:t>The existing evidence is insufficient to confirm every mechanism of the model conclusively. It is, however, sufficient to treat functional overload, invisible barriers, structural misfit and the entrapment that arises from them as a serious subject of prevention, care and research. Continuing to exclude this dimension from future prevention strategies and research debates appears neither professionally nor health-politically justifiable.</w:t>
      </w:r>
    </w:p>
    <w:p w14:paraId="15BF9741" w14:textId="77777777" w:rsidR="00094C61" w:rsidRDefault="00000000">
      <w:pPr>
        <w:pStyle w:val="berschrift1"/>
      </w:pPr>
      <w:r>
        <w:t>References</w:t>
      </w:r>
    </w:p>
    <w:p w14:paraId="721A57B4" w14:textId="77777777" w:rsidR="00094C61" w:rsidRDefault="00000000">
      <w:pPr>
        <w:pStyle w:val="berschrift2"/>
      </w:pPr>
      <w:r>
        <w:t>Neurodivergence and Suicidality</w:t>
      </w:r>
    </w:p>
    <w:p w14:paraId="77A382FB" w14:textId="77777777" w:rsidR="00094C61" w:rsidRDefault="00000000">
      <w:pPr>
        <w:pStyle w:val="Listenabsatz"/>
        <w:numPr>
          <w:ilvl w:val="0"/>
          <w:numId w:val="2"/>
        </w:numPr>
        <w:spacing w:before="60" w:after="60"/>
      </w:pPr>
      <w:r>
        <w:t>Cassidy, S. et al. (2022). Autism and autistic traits in those who died by suicide in England. British Journal of Psychiatry, 221(5), 683–691. doi:10.1192/bjp.2022.21</w:t>
      </w:r>
    </w:p>
    <w:p w14:paraId="56E4DB48" w14:textId="77777777" w:rsidR="00094C61" w:rsidRDefault="00000000">
      <w:pPr>
        <w:pStyle w:val="Listenabsatz"/>
        <w:numPr>
          <w:ilvl w:val="0"/>
          <w:numId w:val="2"/>
        </w:numPr>
        <w:spacing w:before="60" w:after="60"/>
      </w:pPr>
      <w:r>
        <w:t>Diemer, M. C. et al. (2025). Comparative Analysis of Autistic Women Across the Lifespan. Autism Research, 18(8), 1651–1663. doi:10.1002/aur.70073</w:t>
      </w:r>
    </w:p>
    <w:p w14:paraId="24BD3BFD" w14:textId="77777777" w:rsidR="00094C61" w:rsidRDefault="00000000">
      <w:pPr>
        <w:pStyle w:val="Listenabsatz"/>
        <w:numPr>
          <w:ilvl w:val="0"/>
          <w:numId w:val="2"/>
        </w:numPr>
        <w:spacing w:before="60" w:after="60"/>
      </w:pPr>
      <w:r>
        <w:t>Gagliano, A. et al. (2024). Suicide risk in children and adolescents with neurodevelopmental disorders. European Child &amp; Adolescent Psychiatry. doi:10.1007/s00787-024-02345-1</w:t>
      </w:r>
    </w:p>
    <w:p w14:paraId="0AB322CB" w14:textId="77777777" w:rsidR="00094C61" w:rsidRDefault="00000000">
      <w:pPr>
        <w:pStyle w:val="Listenabsatz"/>
        <w:numPr>
          <w:ilvl w:val="0"/>
          <w:numId w:val="2"/>
        </w:numPr>
        <w:spacing w:before="60" w:after="60"/>
      </w:pPr>
      <w:r>
        <w:t>Hirvikoski, T. et al. (2016). Premature mortality in autism spectrum disorder. British Journal of Psychiatry, 208(3), 232–238. doi:10.1192/bjp.bp.114.159426</w:t>
      </w:r>
    </w:p>
    <w:p w14:paraId="154A7CF9" w14:textId="77777777" w:rsidR="00094C61" w:rsidRDefault="00000000">
      <w:pPr>
        <w:pStyle w:val="Listenabsatz"/>
        <w:numPr>
          <w:ilvl w:val="0"/>
          <w:numId w:val="2"/>
        </w:numPr>
        <w:spacing w:before="60" w:after="60"/>
      </w:pPr>
      <w:r>
        <w:t>Kang, J. et al. (2024). Umbrella review on ADHD and suicide-related outcomes. Journal of Affective Disorders. doi:10.1016/j.jad.2024.01.187</w:t>
      </w:r>
    </w:p>
    <w:p w14:paraId="65A90AE9" w14:textId="77777777" w:rsidR="00094C61" w:rsidRDefault="00000000">
      <w:pPr>
        <w:pStyle w:val="Listenabsatz"/>
        <w:numPr>
          <w:ilvl w:val="0"/>
          <w:numId w:val="2"/>
        </w:numPr>
        <w:spacing w:before="60" w:after="60"/>
      </w:pPr>
      <w:r>
        <w:t>O'Connor, M. J. et al. (2019). Suicide risk in adolescents with fetal alcohol spectrum disorders. Birth Defects Research, 111(12), 822–828. doi:10.1002/bdr2.1528</w:t>
      </w:r>
    </w:p>
    <w:p w14:paraId="21147E2A" w14:textId="77777777" w:rsidR="00094C61" w:rsidRDefault="00000000">
      <w:pPr>
        <w:pStyle w:val="Listenabsatz"/>
        <w:numPr>
          <w:ilvl w:val="0"/>
          <w:numId w:val="2"/>
        </w:numPr>
        <w:spacing w:before="60" w:after="60"/>
      </w:pPr>
      <w:r>
        <w:t>O'Halloran, L. et al. (2022). Suicidal ideation and attempts in autistic youth: Meta-analysis. Psychological Medicine. doi:10.1017/S0033291722002458</w:t>
      </w:r>
    </w:p>
    <w:p w14:paraId="2A38CBDA" w14:textId="77777777" w:rsidR="00094C61" w:rsidRDefault="00000000">
      <w:pPr>
        <w:pStyle w:val="Listenabsatz"/>
        <w:numPr>
          <w:ilvl w:val="0"/>
          <w:numId w:val="2"/>
        </w:numPr>
        <w:spacing w:before="60" w:after="60"/>
      </w:pPr>
      <w:r>
        <w:t>Santomauro, D. F. et al. (2024). Global burden of suicide mortality in people on the autism spectrum. The Lancet Psychiatry. doi:10.1016/S2215-0366(24)00101-5</w:t>
      </w:r>
    </w:p>
    <w:p w14:paraId="5FF145AE" w14:textId="77777777" w:rsidR="00094C61" w:rsidRDefault="00000000">
      <w:pPr>
        <w:pStyle w:val="Listenabsatz"/>
        <w:numPr>
          <w:ilvl w:val="0"/>
          <w:numId w:val="2"/>
        </w:numPr>
        <w:spacing w:before="60" w:after="60"/>
      </w:pPr>
      <w:r>
        <w:t>Zhang, L. et al. (2025). ADHD medication and risk of suicidal behaviours: Target trial emulation. BMJ, 388, e081823. doi:10.1136/bmj-2024-081823</w:t>
      </w:r>
    </w:p>
    <w:p w14:paraId="460B1C19" w14:textId="77777777" w:rsidR="00094C61" w:rsidRDefault="00000000">
      <w:pPr>
        <w:pStyle w:val="Listenabsatz"/>
        <w:numPr>
          <w:ilvl w:val="0"/>
          <w:numId w:val="2"/>
        </w:numPr>
        <w:spacing w:before="60" w:after="60"/>
      </w:pPr>
      <w:r>
        <w:t xml:space="preserve">Kreiser, N. L. &amp; White, S. W. (2014). ASD in females: Are we overstating the gender difference? Clinical Child and Family Psychology Review, 17(1), 67–84. doi:10.1007/s10567-013-0148-9 </w:t>
      </w:r>
      <w:r>
        <w:rPr>
          <w:i/>
          <w:iCs/>
        </w:rPr>
        <w:t>[Reference: underdiagnosis as a care barrier, Stage 1]</w:t>
      </w:r>
    </w:p>
    <w:p w14:paraId="3341B689" w14:textId="77777777" w:rsidR="00094C61" w:rsidRDefault="00000000">
      <w:pPr>
        <w:pStyle w:val="berschrift2"/>
      </w:pPr>
      <w:r>
        <w:t>Chronic Conditions</w:t>
      </w:r>
    </w:p>
    <w:p w14:paraId="7B047C3C" w14:textId="77777777" w:rsidR="00094C61" w:rsidRDefault="00000000">
      <w:pPr>
        <w:pStyle w:val="Listenabsatz"/>
        <w:numPr>
          <w:ilvl w:val="0"/>
          <w:numId w:val="2"/>
        </w:numPr>
        <w:spacing w:before="60" w:after="60"/>
      </w:pPr>
      <w:r>
        <w:t>Bidhendi-Yarandi, R. et al. (2025). Long COVID and suicide tendency: Systematic review and meta-analysis. Journal of Affective Disorders. doi:10.1016/j.jad.2025.01.042</w:t>
      </w:r>
    </w:p>
    <w:p w14:paraId="761EFB29" w14:textId="77777777" w:rsidR="00094C61" w:rsidRDefault="00000000">
      <w:pPr>
        <w:pStyle w:val="Listenabsatz"/>
        <w:numPr>
          <w:ilvl w:val="0"/>
          <w:numId w:val="2"/>
        </w:numPr>
        <w:spacing w:before="60" w:after="60"/>
      </w:pPr>
      <w:r>
        <w:t>Johnson, M. L. et al. (2022). Risk factors for suicide in chronic fatigue syndrome. Death Studies, 46(3), 738–744. doi:10.1080/07481187.2020.1776789</w:t>
      </w:r>
    </w:p>
    <w:p w14:paraId="1D964D5B" w14:textId="77777777" w:rsidR="00094C61" w:rsidRDefault="00000000">
      <w:pPr>
        <w:pStyle w:val="Listenabsatz"/>
        <w:numPr>
          <w:ilvl w:val="0"/>
          <w:numId w:val="2"/>
        </w:numPr>
        <w:spacing w:before="60" w:after="60"/>
      </w:pPr>
      <w:r>
        <w:t>König, R. et al. (2024). Mental health burden in ME/CFS patients in Switzerland. Heliyon, 10(5), e27031. doi:10.1016/j.heliyon.2024.e27031</w:t>
      </w:r>
    </w:p>
    <w:p w14:paraId="2A226078" w14:textId="77777777" w:rsidR="00094C61" w:rsidRDefault="00000000">
      <w:pPr>
        <w:pStyle w:val="Listenabsatz"/>
        <w:numPr>
          <w:ilvl w:val="0"/>
          <w:numId w:val="2"/>
        </w:numPr>
        <w:spacing w:before="60" w:after="60"/>
      </w:pPr>
      <w:r>
        <w:t>Racine, M. (2018). Chronic pain and suicide risk: A comprehensive review. Progress in Neuro-Psychopharmacology, 87, 269–280. doi:10.1016/j.pnpbp.2017.08.020</w:t>
      </w:r>
    </w:p>
    <w:p w14:paraId="03DBAF38" w14:textId="77777777" w:rsidR="00094C61" w:rsidRDefault="00000000">
      <w:pPr>
        <w:pStyle w:val="Listenabsatz"/>
        <w:numPr>
          <w:ilvl w:val="0"/>
          <w:numId w:val="2"/>
        </w:numPr>
        <w:spacing w:before="60" w:after="60"/>
      </w:pPr>
      <w:r>
        <w:t>Rafati, A. et al. (2025). Elevated suicide risk in individuals with epilepsy: Meta-analysis. Epilepsia. doi:10.1111/epi.18236</w:t>
      </w:r>
    </w:p>
    <w:p w14:paraId="1DDD9FBC" w14:textId="77777777" w:rsidR="00094C61" w:rsidRDefault="00000000">
      <w:pPr>
        <w:pStyle w:val="Listenabsatz"/>
        <w:numPr>
          <w:ilvl w:val="0"/>
          <w:numId w:val="2"/>
        </w:numPr>
        <w:spacing w:before="60" w:after="60"/>
      </w:pPr>
      <w:r>
        <w:t>Thiel, L. W. et al. (2024). Endometriosis and mental health: Population-based cohort study. BJOG. doi:10.1111/1471-0528.17742</w:t>
      </w:r>
    </w:p>
    <w:p w14:paraId="5A459F1A" w14:textId="77777777" w:rsidR="00094C61" w:rsidRDefault="00000000">
      <w:pPr>
        <w:pStyle w:val="berschrift2"/>
      </w:pPr>
      <w:r>
        <w:lastRenderedPageBreak/>
        <w:t>Theoretical Frameworks</w:t>
      </w:r>
    </w:p>
    <w:p w14:paraId="3BF57DF0" w14:textId="77777777" w:rsidR="00094C61" w:rsidRDefault="00000000">
      <w:pPr>
        <w:pStyle w:val="Listenabsatz"/>
        <w:numPr>
          <w:ilvl w:val="0"/>
          <w:numId w:val="2"/>
        </w:numPr>
        <w:spacing w:before="60" w:after="60"/>
      </w:pPr>
      <w:r>
        <w:t>Joiner, T. E. (2005). Why People Die by Suicide. Harvard University Press.</w:t>
      </w:r>
    </w:p>
    <w:p w14:paraId="53ED43B1" w14:textId="77777777" w:rsidR="00094C61" w:rsidRDefault="00000000">
      <w:pPr>
        <w:pStyle w:val="Listenabsatz"/>
        <w:numPr>
          <w:ilvl w:val="0"/>
          <w:numId w:val="2"/>
        </w:numPr>
        <w:spacing w:before="60" w:after="60"/>
      </w:pPr>
      <w:r>
        <w:t>McEwen, B. S. (1998). Protective and damaging effects of stress mediators. New England Journal of Medicine, 338(3), 171–179. doi:10.1056/NEJM199801153380307</w:t>
      </w:r>
    </w:p>
    <w:p w14:paraId="504ABF88" w14:textId="77777777" w:rsidR="00094C61" w:rsidRDefault="00000000">
      <w:pPr>
        <w:pStyle w:val="Listenabsatz"/>
        <w:numPr>
          <w:ilvl w:val="0"/>
          <w:numId w:val="2"/>
        </w:numPr>
        <w:spacing w:before="60" w:after="60"/>
      </w:pPr>
      <w:r>
        <w:t>Melzer, N. et al. (2024). Suicide Crisis Syndrome: A systematic review. Psychological Medicine. doi:10.1017/S0033291724000764</w:t>
      </w:r>
    </w:p>
    <w:p w14:paraId="5EA2A344" w14:textId="77777777" w:rsidR="00094C61" w:rsidRDefault="00000000">
      <w:pPr>
        <w:pStyle w:val="Listenabsatz"/>
        <w:numPr>
          <w:ilvl w:val="0"/>
          <w:numId w:val="2"/>
        </w:numPr>
        <w:spacing w:before="60" w:after="60"/>
      </w:pPr>
      <w:r>
        <w:t>Miller, A. H. &amp; Raison, C. L. (2016). The role of inflammation in depression. Nature Reviews Immunology, 16(1), 22–34. doi:10.1038/nri.2015.5</w:t>
      </w:r>
    </w:p>
    <w:p w14:paraId="205E3FE5" w14:textId="77777777" w:rsidR="00094C61" w:rsidRDefault="00000000">
      <w:pPr>
        <w:pStyle w:val="Listenabsatz"/>
        <w:numPr>
          <w:ilvl w:val="0"/>
          <w:numId w:val="2"/>
        </w:numPr>
        <w:spacing w:before="60" w:after="60"/>
      </w:pPr>
      <w:r>
        <w:t>O'Connor, R. C. &amp; Kirtley, O. J. (2018). The integrated motivational-volitional model of suicidal behaviour. Philosophical Transactions of the Royal Society B, 373(1754). doi:10.1098/rstb.2017.0268</w:t>
      </w:r>
    </w:p>
    <w:p w14:paraId="5AC60603" w14:textId="77777777" w:rsidR="00094C61" w:rsidRDefault="00000000">
      <w:pPr>
        <w:pStyle w:val="Listenabsatz"/>
        <w:numPr>
          <w:ilvl w:val="0"/>
          <w:numId w:val="2"/>
        </w:numPr>
        <w:spacing w:before="60" w:after="60"/>
      </w:pPr>
      <w:r>
        <w:t>Slavich, G. M. &amp; Irwin, M. R. (2014). From stress to inflammation and major depressive disorder. Psychological Bulletin, 140(3), 774–815. doi:10.1037/a0035302</w:t>
      </w:r>
    </w:p>
    <w:p w14:paraId="79E1886A" w14:textId="77777777" w:rsidR="00094C61" w:rsidRDefault="00000000">
      <w:pPr>
        <w:pStyle w:val="Listenabsatz"/>
        <w:numPr>
          <w:ilvl w:val="0"/>
          <w:numId w:val="2"/>
        </w:numPr>
        <w:spacing w:before="60" w:after="60"/>
      </w:pPr>
      <w:r>
        <w:t>World Health Organization (2021). LIVE LIFE: An implementation guide for suicide prevention in countries. WHO.</w:t>
      </w:r>
    </w:p>
    <w:p w14:paraId="5C3B36DA" w14:textId="77777777" w:rsidR="00094C61" w:rsidRDefault="00000000">
      <w:pPr>
        <w:pStyle w:val="berschrift2"/>
      </w:pPr>
      <w:r>
        <w:t>Care Barriers and Social Determinants</w:t>
      </w:r>
    </w:p>
    <w:p w14:paraId="66B43C0F" w14:textId="77777777" w:rsidR="00094C61" w:rsidRDefault="00000000">
      <w:pPr>
        <w:pStyle w:val="Listenabsatz"/>
        <w:numPr>
          <w:ilvl w:val="0"/>
          <w:numId w:val="2"/>
        </w:numPr>
        <w:spacing w:before="60" w:after="60"/>
      </w:pPr>
      <w:r>
        <w:t>Doherty, M. et al. (2022). Barriers to healthcare and adverse outcomes for autistic adults. Autism, 26(5), 1311–1325. doi:10.1177/13623613211050237</w:t>
      </w:r>
    </w:p>
    <w:p w14:paraId="2B70F6C0" w14:textId="77777777" w:rsidR="00094C61" w:rsidRDefault="00000000">
      <w:pPr>
        <w:pStyle w:val="Listenabsatz"/>
        <w:numPr>
          <w:ilvl w:val="0"/>
          <w:numId w:val="2"/>
        </w:numPr>
        <w:spacing w:before="60" w:after="60"/>
      </w:pPr>
      <w:r>
        <w:t>Hickling, L. M. et al. (2024). Stigma and chronic pain outcomes: Systematic review. Pain Medicine. doi:10.1093/pm/pnad148</w:t>
      </w:r>
    </w:p>
    <w:p w14:paraId="27B6DB6C" w14:textId="77777777" w:rsidR="00094C61" w:rsidRDefault="00000000">
      <w:pPr>
        <w:pStyle w:val="Listenabsatz"/>
        <w:numPr>
          <w:ilvl w:val="0"/>
          <w:numId w:val="2"/>
        </w:numPr>
        <w:spacing w:before="60" w:after="60"/>
      </w:pPr>
      <w:r>
        <w:t>Na, P. J. et al. (2025). Social determinants of health and suicide-related outcomes: Umbrella review. JAMA Psychiatry. doi:10.1001/jamapsychiatry.2024.4241</w:t>
      </w:r>
    </w:p>
    <w:p w14:paraId="2D0C9680" w14:textId="77777777" w:rsidR="00094C61" w:rsidRDefault="00000000">
      <w:pPr>
        <w:pStyle w:val="Listenabsatz"/>
        <w:numPr>
          <w:ilvl w:val="0"/>
          <w:numId w:val="2"/>
        </w:numPr>
        <w:spacing w:before="60" w:after="60"/>
      </w:pPr>
      <w:r>
        <w:t>Raymaker, D. M. et al. (2017). Barriers to healthcare: Autistic adults vs. adults without disabilities. Autism, 21(8), 972–984. doi:10.1177/1362361316661261</w:t>
      </w:r>
    </w:p>
    <w:p w14:paraId="56F6854A" w14:textId="77777777" w:rsidR="00094C61" w:rsidRDefault="00094C61"/>
    <w:p w14:paraId="4A644B16" w14:textId="77777777" w:rsidR="00094C61" w:rsidRDefault="00094C61"/>
    <w:p w14:paraId="04A177B8" w14:textId="77777777" w:rsidR="00094C61" w:rsidRDefault="00000000">
      <w:pPr>
        <w:spacing w:before="200" w:after="100"/>
        <w:jc w:val="center"/>
      </w:pPr>
      <w:r>
        <w:t xml:space="preserve">Contact: Rebecca Lefèvre · </w:t>
      </w:r>
      <w:hyperlink r:id="rId6" w:history="1">
        <w:r>
          <w:rPr>
            <w:rStyle w:val="Hyperlink"/>
            <w:color w:val="1F3864"/>
          </w:rPr>
          <w:t>post@stille-stunde.com</w:t>
        </w:r>
      </w:hyperlink>
      <w:r>
        <w:t xml:space="preserve"> · gemeinsam zusammen e.V. · </w:t>
      </w:r>
      <w:hyperlink r:id="rId7" w:history="1">
        <w:r>
          <w:rPr>
            <w:rStyle w:val="Hyperlink"/>
            <w:color w:val="1F3864"/>
          </w:rPr>
          <w:t>www.stille-stunde.com</w:t>
        </w:r>
      </w:hyperlink>
    </w:p>
    <w:sectPr w:rsidR="00094C6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37121"/>
    <w:multiLevelType w:val="hybridMultilevel"/>
    <w:tmpl w:val="81D415FC"/>
    <w:lvl w:ilvl="0" w:tplc="AD1CA448">
      <w:start w:val="1"/>
      <w:numFmt w:val="bullet"/>
      <w:lvlText w:val="•"/>
      <w:lvlJc w:val="left"/>
      <w:pPr>
        <w:ind w:left="540" w:hanging="260"/>
      </w:pPr>
    </w:lvl>
    <w:lvl w:ilvl="1" w:tplc="CC8A3E3A">
      <w:numFmt w:val="decimal"/>
      <w:lvlText w:val=""/>
      <w:lvlJc w:val="left"/>
    </w:lvl>
    <w:lvl w:ilvl="2" w:tplc="A8789A0C">
      <w:numFmt w:val="decimal"/>
      <w:lvlText w:val=""/>
      <w:lvlJc w:val="left"/>
    </w:lvl>
    <w:lvl w:ilvl="3" w:tplc="68C000F6">
      <w:numFmt w:val="decimal"/>
      <w:lvlText w:val=""/>
      <w:lvlJc w:val="left"/>
    </w:lvl>
    <w:lvl w:ilvl="4" w:tplc="5A4441D6">
      <w:numFmt w:val="decimal"/>
      <w:lvlText w:val=""/>
      <w:lvlJc w:val="left"/>
    </w:lvl>
    <w:lvl w:ilvl="5" w:tplc="12827144">
      <w:numFmt w:val="decimal"/>
      <w:lvlText w:val=""/>
      <w:lvlJc w:val="left"/>
    </w:lvl>
    <w:lvl w:ilvl="6" w:tplc="B8681F6C">
      <w:numFmt w:val="decimal"/>
      <w:lvlText w:val=""/>
      <w:lvlJc w:val="left"/>
    </w:lvl>
    <w:lvl w:ilvl="7" w:tplc="F962B10E">
      <w:numFmt w:val="decimal"/>
      <w:lvlText w:val=""/>
      <w:lvlJc w:val="left"/>
    </w:lvl>
    <w:lvl w:ilvl="8" w:tplc="0172B4B6">
      <w:numFmt w:val="decimal"/>
      <w:lvlText w:val=""/>
      <w:lvlJc w:val="left"/>
    </w:lvl>
  </w:abstractNum>
  <w:abstractNum w:abstractNumId="1" w15:restartNumberingAfterBreak="0">
    <w:nsid w:val="6C943140"/>
    <w:multiLevelType w:val="hybridMultilevel"/>
    <w:tmpl w:val="514C4E1E"/>
    <w:lvl w:ilvl="0" w:tplc="4BE86D96">
      <w:start w:val="1"/>
      <w:numFmt w:val="bullet"/>
      <w:lvlText w:val="●"/>
      <w:lvlJc w:val="left"/>
      <w:pPr>
        <w:ind w:left="720" w:hanging="360"/>
      </w:pPr>
    </w:lvl>
    <w:lvl w:ilvl="1" w:tplc="9F7617A0">
      <w:start w:val="1"/>
      <w:numFmt w:val="bullet"/>
      <w:lvlText w:val="○"/>
      <w:lvlJc w:val="left"/>
      <w:pPr>
        <w:ind w:left="1440" w:hanging="360"/>
      </w:pPr>
    </w:lvl>
    <w:lvl w:ilvl="2" w:tplc="BFE41A78">
      <w:start w:val="1"/>
      <w:numFmt w:val="bullet"/>
      <w:lvlText w:val="■"/>
      <w:lvlJc w:val="left"/>
      <w:pPr>
        <w:ind w:left="2160" w:hanging="360"/>
      </w:pPr>
    </w:lvl>
    <w:lvl w:ilvl="3" w:tplc="C8A4D5E8">
      <w:start w:val="1"/>
      <w:numFmt w:val="bullet"/>
      <w:lvlText w:val="●"/>
      <w:lvlJc w:val="left"/>
      <w:pPr>
        <w:ind w:left="2880" w:hanging="360"/>
      </w:pPr>
    </w:lvl>
    <w:lvl w:ilvl="4" w:tplc="D8246A70">
      <w:start w:val="1"/>
      <w:numFmt w:val="bullet"/>
      <w:lvlText w:val="○"/>
      <w:lvlJc w:val="left"/>
      <w:pPr>
        <w:ind w:left="3600" w:hanging="360"/>
      </w:pPr>
    </w:lvl>
    <w:lvl w:ilvl="5" w:tplc="A5B0CB6A">
      <w:start w:val="1"/>
      <w:numFmt w:val="bullet"/>
      <w:lvlText w:val="■"/>
      <w:lvlJc w:val="left"/>
      <w:pPr>
        <w:ind w:left="4320" w:hanging="360"/>
      </w:pPr>
    </w:lvl>
    <w:lvl w:ilvl="6" w:tplc="46C0BC72">
      <w:start w:val="1"/>
      <w:numFmt w:val="bullet"/>
      <w:lvlText w:val="●"/>
      <w:lvlJc w:val="left"/>
      <w:pPr>
        <w:ind w:left="5040" w:hanging="360"/>
      </w:pPr>
    </w:lvl>
    <w:lvl w:ilvl="7" w:tplc="D0B2F766">
      <w:start w:val="1"/>
      <w:numFmt w:val="bullet"/>
      <w:lvlText w:val="●"/>
      <w:lvlJc w:val="left"/>
      <w:pPr>
        <w:ind w:left="5760" w:hanging="360"/>
      </w:pPr>
    </w:lvl>
    <w:lvl w:ilvl="8" w:tplc="C5BA2362">
      <w:start w:val="1"/>
      <w:numFmt w:val="bullet"/>
      <w:lvlText w:val="●"/>
      <w:lvlJc w:val="left"/>
      <w:pPr>
        <w:ind w:left="6480" w:hanging="360"/>
      </w:pPr>
    </w:lvl>
  </w:abstractNum>
  <w:num w:numId="1" w16cid:durableId="649134368">
    <w:abstractNumId w:val="1"/>
    <w:lvlOverride w:ilvl="0">
      <w:startOverride w:val="1"/>
    </w:lvlOverride>
  </w:num>
  <w:num w:numId="2" w16cid:durableId="17568952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7"/>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C61"/>
    <w:rsid w:val="00094C61"/>
    <w:rsid w:val="00972ECB"/>
    <w:rsid w:val="009920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5B1D5494"/>
  <w15:docId w15:val="{B0A1DCDE-9803-604B-97E4-676C9E932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spacing w:before="400" w:after="120"/>
      <w:outlineLvl w:val="0"/>
    </w:pPr>
    <w:rPr>
      <w:b/>
      <w:bCs/>
      <w:color w:val="1F3864"/>
      <w:sz w:val="36"/>
      <w:szCs w:val="36"/>
    </w:rPr>
  </w:style>
  <w:style w:type="paragraph" w:styleId="berschrift2">
    <w:name w:val="heading 2"/>
    <w:uiPriority w:val="9"/>
    <w:unhideWhenUsed/>
    <w:qFormat/>
    <w:pPr>
      <w:spacing w:before="280" w:after="120"/>
      <w:outlineLvl w:val="1"/>
    </w:pPr>
    <w:rPr>
      <w:b/>
      <w:bCs/>
      <w:color w:val="1F3864"/>
      <w:sz w:val="28"/>
      <w:szCs w:val="28"/>
    </w:rPr>
  </w:style>
  <w:style w:type="paragraph" w:styleId="berschrift3">
    <w:name w:val="heading 3"/>
    <w:uiPriority w:val="9"/>
    <w:unhideWhenUsed/>
    <w:qFormat/>
    <w:pPr>
      <w:spacing w:before="200" w:after="100"/>
      <w:outlineLvl w:val="2"/>
    </w:pPr>
    <w:rPr>
      <w:b/>
      <w:bCs/>
      <w:color w:val="2E5E9E"/>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tille-stund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ost@stille-stunde.com" TargetMode="External"/><Relationship Id="rId5" Type="http://schemas.openxmlformats.org/officeDocument/2006/relationships/hyperlink" Target="https://www.stille-stunde.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2654</Words>
  <Characters>16721</Characters>
  <Application>Microsoft Office Word</Application>
  <DocSecurity>0</DocSecurity>
  <Lines>139</Lines>
  <Paragraphs>38</Paragraphs>
  <ScaleCrop>false</ScaleCrop>
  <Company/>
  <LinksUpToDate>false</LinksUpToDate>
  <CharactersWithSpaces>19337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Anna Lefèvre</cp:lastModifiedBy>
  <cp:revision>2</cp:revision>
  <dcterms:created xsi:type="dcterms:W3CDTF">2026-03-25T18:33:00Z</dcterms:created>
  <dcterms:modified xsi:type="dcterms:W3CDTF">2026-03-25T18:37:00Z</dcterms:modified>
</cp:coreProperties>
</file>